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43" w:rsidRPr="00171C28" w:rsidRDefault="00B3035E">
      <w:pPr>
        <w:pStyle w:val="Overskrift1"/>
        <w:rPr>
          <w:color w:val="auto"/>
        </w:rPr>
      </w:pPr>
      <w:bookmarkStart w:id="0" w:name="_Toc252634155"/>
      <w:r w:rsidRPr="00171C28">
        <w:rPr>
          <w:color w:val="auto"/>
        </w:rPr>
        <w:t>Indledning</w:t>
      </w:r>
      <w:bookmarkEnd w:id="0"/>
    </w:p>
    <w:p w:rsidR="00687443" w:rsidRPr="00171C28" w:rsidRDefault="00B3035E">
      <w:r w:rsidRPr="00171C28">
        <w:t>Danske Regioner inviterer hermed alle interesserede og kvalificerede leverandører til at afgive tilbud på udvikling af e</w:t>
      </w:r>
      <w:r w:rsidR="00C36683">
        <w:t>t</w:t>
      </w:r>
      <w:r w:rsidRPr="00171C28">
        <w:t xml:space="preserve"> </w:t>
      </w:r>
      <w:r w:rsidR="00C36683">
        <w:t xml:space="preserve">spil-element </w:t>
      </w:r>
      <w:r w:rsidR="0001567B" w:rsidRPr="00171C28">
        <w:t>t</w:t>
      </w:r>
      <w:r w:rsidRPr="00171C28">
        <w:t>il Regionsvalg 2013.</w:t>
      </w:r>
    </w:p>
    <w:p w:rsidR="00687443" w:rsidRPr="00171C28" w:rsidRDefault="00B3035E">
      <w:pPr>
        <w:pStyle w:val="Overskrift2"/>
        <w:rPr>
          <w:color w:val="auto"/>
        </w:rPr>
      </w:pPr>
      <w:bookmarkStart w:id="1" w:name="_Toc252634156"/>
      <w:r w:rsidRPr="00171C28">
        <w:rPr>
          <w:color w:val="auto"/>
        </w:rPr>
        <w:t>Baggrund og formål</w:t>
      </w:r>
      <w:bookmarkEnd w:id="1"/>
    </w:p>
    <w:p w:rsidR="00B3035E" w:rsidRDefault="00B3035E" w:rsidP="00B3035E">
      <w:bookmarkStart w:id="2" w:name="_Toc252634157"/>
      <w:r w:rsidRPr="00171C28">
        <w:t xml:space="preserve">Danske Regioner og de fem regioner vil i forbindelse </w:t>
      </w:r>
      <w:r w:rsidR="00980072" w:rsidRPr="00171C28">
        <w:t xml:space="preserve">med Regionsvalget i 2013 </w:t>
      </w:r>
      <w:r w:rsidRPr="00171C28">
        <w:t>etablere en fælles web-indsats - en web-platform/hjemmeside - med præsentation af valget, kandidaterne og regionerne.</w:t>
      </w:r>
    </w:p>
    <w:p w:rsidR="00C81779" w:rsidRPr="00C36683" w:rsidRDefault="00C81779" w:rsidP="00C81779">
      <w:pPr>
        <w:spacing w:after="0" w:line="240" w:lineRule="auto"/>
        <w:rPr>
          <w:rFonts w:eastAsia="Times New Roman"/>
        </w:rPr>
      </w:pPr>
      <w:r w:rsidRPr="00C36683">
        <w:rPr>
          <w:rFonts w:eastAsia="Times New Roman"/>
        </w:rPr>
        <w:t>Regionerne har valgt at understøtte valgindsatsen med et selvstændigt underholdende</w:t>
      </w:r>
      <w:r w:rsidRPr="009150B4">
        <w:rPr>
          <w:rFonts w:eastAsia="Times New Roman"/>
        </w:rPr>
        <w:t xml:space="preserve"> </w:t>
      </w:r>
      <w:r w:rsidRPr="00C36683">
        <w:rPr>
          <w:rFonts w:eastAsia="Times New Roman"/>
        </w:rPr>
        <w:t>spil-element.</w:t>
      </w:r>
      <w:r w:rsidRPr="009150B4">
        <w:rPr>
          <w:rFonts w:eastAsia="Times New Roman"/>
        </w:rPr>
        <w:t xml:space="preserve"> </w:t>
      </w:r>
      <w:r w:rsidRPr="00C36683">
        <w:rPr>
          <w:rFonts w:eastAsia="Times New Roman"/>
        </w:rPr>
        <w:t>Spil-elementet skal være et tydeligt og underholdende digitalt indslag, som fungerer i</w:t>
      </w:r>
      <w:r w:rsidRPr="009150B4">
        <w:rPr>
          <w:rFonts w:eastAsia="Times New Roman"/>
        </w:rPr>
        <w:t xml:space="preserve"> </w:t>
      </w:r>
      <w:r w:rsidRPr="00C36683">
        <w:rPr>
          <w:rFonts w:eastAsia="Times New Roman"/>
        </w:rPr>
        <w:t>sammenhæng med den øvrige valgindsats.</w:t>
      </w:r>
      <w:r w:rsidRPr="009150B4">
        <w:rPr>
          <w:rFonts w:eastAsia="Times New Roman"/>
        </w:rPr>
        <w:t xml:space="preserve"> </w:t>
      </w:r>
    </w:p>
    <w:p w:rsidR="00687443" w:rsidRPr="00171C28" w:rsidRDefault="00B3035E">
      <w:pPr>
        <w:pStyle w:val="Overskrift1"/>
        <w:rPr>
          <w:color w:val="auto"/>
        </w:rPr>
      </w:pPr>
      <w:r w:rsidRPr="00171C28">
        <w:rPr>
          <w:color w:val="auto"/>
        </w:rPr>
        <w:t>Udbudsbetingelser</w:t>
      </w:r>
      <w:bookmarkEnd w:id="2"/>
    </w:p>
    <w:p w:rsidR="00687443" w:rsidRPr="00171C28" w:rsidRDefault="00B3035E">
      <w:r w:rsidRPr="00171C28">
        <w:t>Den udbudte opgave er omfattet af tilbudsloven, jf. lovbekendtgørelse nr. 1410/2007 om indhentning af tilbud på visse offentlige og offentligt støttede kontrakter, jf. denne lovs § 15a, stk. 1, litra 3. Det indebærer, at Danske Regioner er underlagt en annonceringspligt og en pligt til at anvende objektive, saglige og ikke diskriminerende kriterier for udvælgelsen og en pligt til ikke at forskelsbehandle mellem tilbudsgiverne.</w:t>
      </w:r>
    </w:p>
    <w:p w:rsidR="00B3035E" w:rsidRPr="00171C28" w:rsidRDefault="00B3035E" w:rsidP="00B3035E">
      <w:r w:rsidRPr="00171C28">
        <w:t>Tilbudsgiver skal dokumentere ikke at være omfattet af de udelukkelsesgrunde, der er anført i Udbudsdirektivets artikel 45 stk. 1 og stk. 2 litra a, b, c, e og f. Dvs. bl.a. udelukkelsesgrunde om konkurs og strafbare forhold.</w:t>
      </w:r>
    </w:p>
    <w:p w:rsidR="00B3035E" w:rsidRPr="00171C28" w:rsidRDefault="00B3035E" w:rsidP="00B3035E">
      <w:r w:rsidRPr="00171C28">
        <w:t xml:space="preserve">Tilbudsgiver skal som dokumentation herfor fremsende </w:t>
      </w:r>
      <w:r w:rsidR="00980072" w:rsidRPr="00171C28">
        <w:t>en tro og love-erklæring (vedr. gæld til det offentlige på over 100.000kr, jf. bekendtgørelse nr. 336 af 13. maj 1997 og at tilbudsgiver ikke er omfattet af udelukkelsesgrundene i art. 45, stk. 1 stk. 2).</w:t>
      </w:r>
    </w:p>
    <w:p w:rsidR="00171C28" w:rsidRPr="00171C28" w:rsidRDefault="00171C28" w:rsidP="00B3035E"/>
    <w:p w:rsidR="00687443" w:rsidRPr="00171C28" w:rsidRDefault="00B3035E">
      <w:pPr>
        <w:pStyle w:val="Overskrift2"/>
        <w:rPr>
          <w:color w:val="auto"/>
        </w:rPr>
      </w:pPr>
      <w:bookmarkStart w:id="3" w:name="_Toc252634158"/>
      <w:r w:rsidRPr="00171C28">
        <w:rPr>
          <w:color w:val="auto"/>
        </w:rPr>
        <w:t>Ordregivende myndighed</w:t>
      </w:r>
      <w:bookmarkEnd w:id="3"/>
    </w:p>
    <w:p w:rsidR="00687443" w:rsidRPr="00171C28" w:rsidRDefault="00B3035E">
      <w:r w:rsidRPr="00171C28">
        <w:t>Ordregiver under dette udbud er:</w:t>
      </w:r>
    </w:p>
    <w:p w:rsidR="00B3035E" w:rsidRPr="00171C28" w:rsidRDefault="00B3035E">
      <w:r w:rsidRPr="00171C28">
        <w:t>Danske Regioner</w:t>
      </w:r>
      <w:r w:rsidRPr="00171C28">
        <w:br/>
        <w:t>Dampfærgevej 22</w:t>
      </w:r>
      <w:r w:rsidRPr="00171C28">
        <w:br/>
        <w:t>2100 København Ø</w:t>
      </w:r>
    </w:p>
    <w:p w:rsidR="00687443" w:rsidRPr="00171C28" w:rsidRDefault="00B3035E">
      <w:r w:rsidRPr="00171C28">
        <w:t>Alle henvendelser forud for tilbudsafgivelsen om yderligere oplysninger, dokumentation mv. skal rettes til Danske Regioners udpegede kontaktperson, som er:</w:t>
      </w:r>
    </w:p>
    <w:p w:rsidR="00B3035E" w:rsidRPr="00171C28" w:rsidRDefault="00B3035E">
      <w:r w:rsidRPr="00171C28">
        <w:t>Kommunikationschef Jacob Winther</w:t>
      </w:r>
      <w:r w:rsidRPr="00171C28">
        <w:br/>
        <w:t>Danske Regioner</w:t>
      </w:r>
      <w:r w:rsidRPr="00171C28">
        <w:br/>
        <w:t>Dampfærgevej 22</w:t>
      </w:r>
      <w:r w:rsidRPr="00171C28">
        <w:br/>
        <w:t>2100 København K</w:t>
      </w:r>
    </w:p>
    <w:p w:rsidR="00687443" w:rsidRPr="00171C28" w:rsidRDefault="00B3035E">
      <w:pPr>
        <w:rPr>
          <w:lang w:val="en-US"/>
        </w:rPr>
      </w:pPr>
      <w:r w:rsidRPr="00171C28">
        <w:rPr>
          <w:lang w:val="en-US"/>
        </w:rPr>
        <w:lastRenderedPageBreak/>
        <w:t>Tlf.: 3529 8262</w:t>
      </w:r>
      <w:r w:rsidRPr="00171C28">
        <w:rPr>
          <w:lang w:val="en-US"/>
        </w:rPr>
        <w:br/>
        <w:t xml:space="preserve">E-mail: </w:t>
      </w:r>
      <w:hyperlink r:id="rId8" w:history="1">
        <w:r w:rsidRPr="00171C28">
          <w:rPr>
            <w:rStyle w:val="Hyperlink"/>
            <w:color w:val="auto"/>
            <w:lang w:val="en-US"/>
          </w:rPr>
          <w:t>jwi@regioner.dk</w:t>
        </w:r>
      </w:hyperlink>
    </w:p>
    <w:p w:rsidR="00B3035E" w:rsidRPr="00171C28" w:rsidRDefault="00B3035E">
      <w:pPr>
        <w:rPr>
          <w:lang w:val="en-US"/>
        </w:rPr>
      </w:pPr>
    </w:p>
    <w:p w:rsidR="00687443" w:rsidRPr="00171C28" w:rsidRDefault="00B3035E">
      <w:pPr>
        <w:pStyle w:val="Overskrift2"/>
        <w:rPr>
          <w:color w:val="auto"/>
        </w:rPr>
      </w:pPr>
      <w:bookmarkStart w:id="4" w:name="_Toc252634159"/>
      <w:r w:rsidRPr="00171C28">
        <w:rPr>
          <w:color w:val="auto"/>
        </w:rPr>
        <w:t>Udbudsmaterialets indhold</w:t>
      </w:r>
      <w:bookmarkEnd w:id="4"/>
    </w:p>
    <w:p w:rsidR="00980072" w:rsidRPr="00171C28" w:rsidRDefault="00B3035E">
      <w:r w:rsidRPr="00171C28">
        <w:t>Ud over nærværende udbudsbetingelser udgøres udbudsmaterialet for udbuddet af følgende dokumenter:</w:t>
      </w:r>
    </w:p>
    <w:p w:rsidR="00B3035E" w:rsidRPr="00171C28" w:rsidRDefault="00B3035E">
      <w:pPr>
        <w:numPr>
          <w:ilvl w:val="0"/>
          <w:numId w:val="3"/>
        </w:numPr>
      </w:pPr>
      <w:r w:rsidRPr="00171C28">
        <w:t xml:space="preserve">Bilag </w:t>
      </w:r>
      <w:r w:rsidR="00980072" w:rsidRPr="00171C28">
        <w:t>A</w:t>
      </w:r>
      <w:r w:rsidRPr="00171C28">
        <w:t xml:space="preserve">: </w:t>
      </w:r>
      <w:r w:rsidR="00463F64">
        <w:t>Tro og love-erklæring</w:t>
      </w:r>
    </w:p>
    <w:p w:rsidR="00687443" w:rsidRPr="00171C28" w:rsidRDefault="00687443"/>
    <w:p w:rsidR="00687443" w:rsidRPr="00171C28" w:rsidRDefault="00B3035E">
      <w:pPr>
        <w:pStyle w:val="Overskrift2"/>
        <w:rPr>
          <w:color w:val="auto"/>
        </w:rPr>
      </w:pPr>
      <w:bookmarkStart w:id="5" w:name="_Toc252634160"/>
      <w:r w:rsidRPr="00171C28">
        <w:rPr>
          <w:color w:val="auto"/>
        </w:rPr>
        <w:t>Udbudsform</w:t>
      </w:r>
      <w:bookmarkEnd w:id="5"/>
    </w:p>
    <w:p w:rsidR="00687443" w:rsidRPr="00171C28" w:rsidRDefault="00B3035E">
      <w:r w:rsidRPr="00171C28">
        <w:t>Udbuddet gennemføres som offentligt udbud, hvilket indebærer, at enhver har ret til at afgive tilbud</w:t>
      </w:r>
    </w:p>
    <w:p w:rsidR="00980072" w:rsidRPr="00171C28" w:rsidRDefault="00980072" w:rsidP="00980072">
      <w:pPr>
        <w:pStyle w:val="Overskrift2"/>
        <w:rPr>
          <w:color w:val="auto"/>
        </w:rPr>
      </w:pPr>
      <w:bookmarkStart w:id="6" w:name="_Toc252634161"/>
    </w:p>
    <w:p w:rsidR="00980072" w:rsidRPr="00171C28" w:rsidRDefault="00980072" w:rsidP="00980072">
      <w:pPr>
        <w:pStyle w:val="Overskrift2"/>
        <w:rPr>
          <w:color w:val="auto"/>
          <w:sz w:val="44"/>
          <w:szCs w:val="44"/>
        </w:rPr>
      </w:pPr>
      <w:r w:rsidRPr="00171C28">
        <w:rPr>
          <w:color w:val="auto"/>
          <w:sz w:val="44"/>
          <w:szCs w:val="44"/>
        </w:rPr>
        <w:t>Beskrivelse af opgaven</w:t>
      </w:r>
    </w:p>
    <w:p w:rsidR="00C36683" w:rsidRPr="00C36683" w:rsidRDefault="00C36683" w:rsidP="00C36683">
      <w:pPr>
        <w:spacing w:after="0" w:line="240" w:lineRule="auto"/>
        <w:rPr>
          <w:rFonts w:eastAsia="Times New Roman"/>
        </w:rPr>
      </w:pPr>
      <w:r w:rsidRPr="00C36683">
        <w:rPr>
          <w:rFonts w:eastAsia="Times New Roman"/>
        </w:rPr>
        <w:t>Regionerne har valgt at understøtte valgindsatsen med et selvstændigt underholdende</w:t>
      </w:r>
      <w:r w:rsidRPr="009150B4">
        <w:rPr>
          <w:rFonts w:eastAsia="Times New Roman"/>
        </w:rPr>
        <w:t xml:space="preserve"> </w:t>
      </w:r>
      <w:r w:rsidRPr="00C36683">
        <w:rPr>
          <w:rFonts w:eastAsia="Times New Roman"/>
        </w:rPr>
        <w:t>spil-element.</w:t>
      </w:r>
      <w:r w:rsidRPr="009150B4">
        <w:rPr>
          <w:rFonts w:eastAsia="Times New Roman"/>
        </w:rPr>
        <w:t xml:space="preserve"> </w:t>
      </w:r>
      <w:r w:rsidRPr="00C36683">
        <w:rPr>
          <w:rFonts w:eastAsia="Times New Roman"/>
        </w:rPr>
        <w:t>Spil-elementet skal være et tydeligt og underholdende digitalt indslag, som fungerer i</w:t>
      </w:r>
      <w:r w:rsidRPr="009150B4">
        <w:rPr>
          <w:rFonts w:eastAsia="Times New Roman"/>
        </w:rPr>
        <w:t xml:space="preserve"> </w:t>
      </w:r>
      <w:r w:rsidRPr="00C36683">
        <w:rPr>
          <w:rFonts w:eastAsia="Times New Roman"/>
        </w:rPr>
        <w:t>sammenhæng med den øvrige valgindsats.</w:t>
      </w:r>
      <w:r w:rsidRPr="009150B4">
        <w:rPr>
          <w:rFonts w:eastAsia="Times New Roman"/>
        </w:rPr>
        <w:t xml:space="preserve"> </w:t>
      </w:r>
    </w:p>
    <w:p w:rsidR="00C36683" w:rsidRPr="00C36683" w:rsidRDefault="00C36683" w:rsidP="00C36683">
      <w:pPr>
        <w:spacing w:after="0" w:line="240" w:lineRule="auto"/>
        <w:rPr>
          <w:rFonts w:eastAsia="Times New Roman"/>
        </w:rPr>
      </w:pPr>
    </w:p>
    <w:p w:rsidR="00C36683" w:rsidRPr="00C36683" w:rsidRDefault="00C36683" w:rsidP="00C36683">
      <w:pPr>
        <w:spacing w:after="0" w:line="240" w:lineRule="auto"/>
        <w:rPr>
          <w:rFonts w:eastAsia="Times New Roman"/>
        </w:rPr>
      </w:pPr>
      <w:r w:rsidRPr="00C36683">
        <w:rPr>
          <w:rFonts w:eastAsia="Times New Roman"/>
        </w:rPr>
        <w:t>Formålet med spil-elementet er generelt, at øge kendskabet til regionernes opgaver</w:t>
      </w:r>
      <w:r w:rsidRPr="009150B4">
        <w:rPr>
          <w:rFonts w:eastAsia="Times New Roman"/>
        </w:rPr>
        <w:t xml:space="preserve"> </w:t>
      </w:r>
      <w:r w:rsidRPr="00C36683">
        <w:rPr>
          <w:rFonts w:eastAsia="Times New Roman"/>
        </w:rPr>
        <w:t>og opgaveløsning.</w:t>
      </w:r>
      <w:r w:rsidRPr="009150B4">
        <w:rPr>
          <w:rFonts w:eastAsia="Times New Roman"/>
        </w:rPr>
        <w:t xml:space="preserve"> </w:t>
      </w:r>
    </w:p>
    <w:p w:rsidR="00C36683" w:rsidRPr="00C36683" w:rsidRDefault="00C36683" w:rsidP="00C36683">
      <w:pPr>
        <w:spacing w:after="0" w:line="240" w:lineRule="auto"/>
        <w:rPr>
          <w:rFonts w:eastAsia="Times New Roman"/>
        </w:rPr>
      </w:pPr>
    </w:p>
    <w:p w:rsidR="00C36683" w:rsidRPr="009150B4" w:rsidRDefault="00C36683" w:rsidP="00C36683">
      <w:pPr>
        <w:spacing w:after="0" w:line="240" w:lineRule="auto"/>
        <w:rPr>
          <w:rFonts w:eastAsia="Times New Roman"/>
        </w:rPr>
      </w:pPr>
      <w:r w:rsidRPr="00C36683">
        <w:rPr>
          <w:rFonts w:eastAsia="Times New Roman"/>
        </w:rPr>
        <w:t>Desuden ønskes det, at spil-elementet:</w:t>
      </w:r>
      <w:r w:rsidRPr="009150B4">
        <w:rPr>
          <w:rFonts w:eastAsia="Times New Roman"/>
        </w:rPr>
        <w:t xml:space="preserve"> </w:t>
      </w:r>
      <w:r>
        <w:rPr>
          <w:rFonts w:eastAsia="Times New Roman"/>
        </w:rPr>
        <w:br/>
      </w:r>
    </w:p>
    <w:p w:rsidR="00C36683" w:rsidRPr="00C36683" w:rsidRDefault="00C36683" w:rsidP="00C36683">
      <w:pPr>
        <w:pStyle w:val="Listeafsnit"/>
        <w:numPr>
          <w:ilvl w:val="0"/>
          <w:numId w:val="17"/>
        </w:numPr>
        <w:spacing w:after="0" w:line="240" w:lineRule="auto"/>
        <w:rPr>
          <w:rFonts w:ascii="Arial" w:eastAsia="Times New Roman" w:hAnsi="Arial" w:cs="Arial"/>
          <w:lang w:eastAsia="da-DK"/>
        </w:rPr>
      </w:pPr>
      <w:r w:rsidRPr="00C36683">
        <w:rPr>
          <w:rFonts w:ascii="Arial" w:eastAsia="Times New Roman" w:hAnsi="Arial" w:cs="Arial"/>
          <w:lang w:eastAsia="da-DK"/>
        </w:rPr>
        <w:t>Fungerer som underholdende indgang til den øvrige del af den digitale valgindsats.</w:t>
      </w:r>
    </w:p>
    <w:p w:rsidR="00C36683" w:rsidRPr="00C36683" w:rsidRDefault="00C36683" w:rsidP="00C36683">
      <w:pPr>
        <w:pStyle w:val="Listeafsnit"/>
        <w:numPr>
          <w:ilvl w:val="0"/>
          <w:numId w:val="17"/>
        </w:numPr>
        <w:spacing w:after="0" w:line="240" w:lineRule="auto"/>
        <w:rPr>
          <w:rFonts w:ascii="Arial" w:eastAsia="Times New Roman" w:hAnsi="Arial" w:cs="Arial"/>
          <w:lang w:eastAsia="da-DK"/>
        </w:rPr>
      </w:pPr>
      <w:r w:rsidRPr="00C36683">
        <w:rPr>
          <w:rFonts w:ascii="Arial" w:eastAsia="Times New Roman" w:hAnsi="Arial" w:cs="Arial"/>
          <w:lang w:eastAsia="da-DK"/>
        </w:rPr>
        <w:t xml:space="preserve">Stimulerer spillerne til at søge yderligere viden om regionerne. </w:t>
      </w:r>
    </w:p>
    <w:p w:rsidR="00C36683" w:rsidRPr="00C36683" w:rsidRDefault="00C36683" w:rsidP="00C36683">
      <w:pPr>
        <w:pStyle w:val="Listeafsnit"/>
        <w:numPr>
          <w:ilvl w:val="0"/>
          <w:numId w:val="17"/>
        </w:numPr>
        <w:spacing w:after="0" w:line="240" w:lineRule="auto"/>
        <w:rPr>
          <w:rFonts w:ascii="Arial" w:eastAsia="Times New Roman" w:hAnsi="Arial" w:cs="Arial"/>
          <w:lang w:eastAsia="da-DK"/>
        </w:rPr>
      </w:pPr>
      <w:r w:rsidRPr="00C36683">
        <w:rPr>
          <w:rFonts w:ascii="Arial" w:eastAsia="Times New Roman" w:hAnsi="Arial" w:cs="Arial"/>
          <w:lang w:eastAsia="da-DK"/>
        </w:rPr>
        <w:t xml:space="preserve">Understøtter interaktion mellem spillerne og potentielle spillere ved at man kan udfordre og invitere til spil. </w:t>
      </w:r>
    </w:p>
    <w:p w:rsidR="00C36683" w:rsidRPr="00C36683" w:rsidRDefault="00C36683" w:rsidP="00C36683">
      <w:pPr>
        <w:pStyle w:val="Listeafsnit"/>
        <w:numPr>
          <w:ilvl w:val="0"/>
          <w:numId w:val="17"/>
        </w:numPr>
        <w:spacing w:after="0" w:line="240" w:lineRule="auto"/>
        <w:rPr>
          <w:rFonts w:ascii="Arial" w:eastAsia="Times New Roman" w:hAnsi="Arial" w:cs="Arial"/>
          <w:lang w:eastAsia="da-DK"/>
        </w:rPr>
      </w:pPr>
      <w:r w:rsidRPr="00C36683">
        <w:rPr>
          <w:rFonts w:ascii="Arial" w:eastAsia="Times New Roman" w:hAnsi="Arial" w:cs="Arial"/>
          <w:lang w:eastAsia="da-DK"/>
        </w:rPr>
        <w:t>Indeholder et socialt aspekt, ved at man kan spille sammen flere ad gangen og ved at man kan spille mod andre spillere.</w:t>
      </w:r>
    </w:p>
    <w:p w:rsidR="00C36683" w:rsidRPr="00C36683" w:rsidRDefault="00C36683" w:rsidP="00C36683">
      <w:pPr>
        <w:pStyle w:val="Listeafsnit"/>
        <w:numPr>
          <w:ilvl w:val="0"/>
          <w:numId w:val="17"/>
        </w:numPr>
        <w:spacing w:after="0" w:line="240" w:lineRule="auto"/>
        <w:rPr>
          <w:rFonts w:ascii="Arial" w:eastAsia="Times New Roman" w:hAnsi="Arial" w:cs="Arial"/>
          <w:lang w:eastAsia="da-DK"/>
        </w:rPr>
      </w:pPr>
      <w:r w:rsidRPr="00C36683">
        <w:rPr>
          <w:rFonts w:ascii="Arial" w:eastAsia="Times New Roman" w:hAnsi="Arial" w:cs="Arial"/>
          <w:lang w:eastAsia="da-DK"/>
        </w:rPr>
        <w:t xml:space="preserve">Kan spilles alene. </w:t>
      </w:r>
    </w:p>
    <w:p w:rsidR="00C36683" w:rsidRPr="00C36683" w:rsidRDefault="00C36683" w:rsidP="00C36683">
      <w:pPr>
        <w:pStyle w:val="Listeafsnit"/>
        <w:numPr>
          <w:ilvl w:val="0"/>
          <w:numId w:val="17"/>
        </w:numPr>
        <w:spacing w:after="0" w:line="240" w:lineRule="auto"/>
        <w:rPr>
          <w:rFonts w:ascii="Arial" w:eastAsia="Times New Roman" w:hAnsi="Arial" w:cs="Arial"/>
          <w:lang w:eastAsia="da-DK"/>
        </w:rPr>
      </w:pPr>
      <w:r w:rsidRPr="00C36683">
        <w:rPr>
          <w:rFonts w:ascii="Arial" w:eastAsia="Times New Roman" w:hAnsi="Arial" w:cs="Arial"/>
          <w:lang w:eastAsia="da-DK"/>
        </w:rPr>
        <w:t>Indeholder en kobling til sociale medier</w:t>
      </w:r>
    </w:p>
    <w:p w:rsidR="00C36683" w:rsidRPr="00C36683" w:rsidRDefault="00C36683" w:rsidP="00C36683">
      <w:pPr>
        <w:spacing w:after="0" w:line="240" w:lineRule="auto"/>
        <w:rPr>
          <w:rFonts w:eastAsia="Times New Roman"/>
        </w:rPr>
      </w:pPr>
    </w:p>
    <w:p w:rsidR="00C36683" w:rsidRPr="00C36683" w:rsidRDefault="00C36683" w:rsidP="00C36683">
      <w:pPr>
        <w:spacing w:after="0" w:line="240" w:lineRule="auto"/>
        <w:rPr>
          <w:rFonts w:eastAsia="Times New Roman"/>
        </w:rPr>
      </w:pPr>
      <w:r w:rsidRPr="00C36683">
        <w:rPr>
          <w:rFonts w:eastAsia="Times New Roman"/>
        </w:rPr>
        <w:t>Spil-elementets målgruppe er sat til de 25-40-årige.</w:t>
      </w:r>
      <w:r w:rsidRPr="009150B4">
        <w:rPr>
          <w:rFonts w:eastAsia="Times New Roman"/>
        </w:rPr>
        <w:t xml:space="preserve"> </w:t>
      </w:r>
    </w:p>
    <w:p w:rsidR="00C36683" w:rsidRPr="00C36683" w:rsidRDefault="00C36683" w:rsidP="00C36683">
      <w:pPr>
        <w:spacing w:after="0" w:line="240" w:lineRule="auto"/>
        <w:rPr>
          <w:rFonts w:eastAsia="Times New Roman"/>
        </w:rPr>
      </w:pPr>
    </w:p>
    <w:p w:rsidR="00C36683" w:rsidRPr="00C36683" w:rsidRDefault="00C36683" w:rsidP="00C36683">
      <w:pPr>
        <w:spacing w:after="0" w:line="240" w:lineRule="auto"/>
      </w:pPr>
      <w:r w:rsidRPr="00C36683">
        <w:rPr>
          <w:rFonts w:eastAsia="Times New Roman"/>
        </w:rPr>
        <w:t>Pristilbuddet kan maksimalt lyde på 360.000 kr. eksklusiv moms, og skal dække alle</w:t>
      </w:r>
      <w:r w:rsidRPr="009150B4">
        <w:rPr>
          <w:rFonts w:eastAsia="Times New Roman"/>
        </w:rPr>
        <w:t xml:space="preserve"> </w:t>
      </w:r>
      <w:r w:rsidRPr="00C36683">
        <w:rPr>
          <w:rFonts w:eastAsia="Times New Roman"/>
        </w:rPr>
        <w:t>udviklingsomkostninger.</w:t>
      </w:r>
      <w:r w:rsidRPr="009150B4">
        <w:rPr>
          <w:rFonts w:eastAsia="Times New Roman"/>
        </w:rPr>
        <w:t xml:space="preserve"> </w:t>
      </w:r>
    </w:p>
    <w:p w:rsidR="00980072" w:rsidRPr="00171C28" w:rsidRDefault="00980072" w:rsidP="00980072"/>
    <w:p w:rsidR="00980072" w:rsidRPr="00171C28" w:rsidRDefault="00980072">
      <w:pPr>
        <w:pStyle w:val="Overskrift2"/>
        <w:rPr>
          <w:color w:val="auto"/>
          <w:sz w:val="22"/>
          <w:szCs w:val="22"/>
        </w:rPr>
      </w:pPr>
    </w:p>
    <w:p w:rsidR="00687443" w:rsidRPr="00171C28" w:rsidRDefault="00B3035E">
      <w:pPr>
        <w:pStyle w:val="Overskrift2"/>
        <w:rPr>
          <w:color w:val="auto"/>
          <w:sz w:val="44"/>
          <w:szCs w:val="44"/>
        </w:rPr>
      </w:pPr>
      <w:bookmarkStart w:id="7" w:name="_Toc252634163"/>
      <w:bookmarkEnd w:id="6"/>
      <w:r w:rsidRPr="00171C28">
        <w:rPr>
          <w:color w:val="auto"/>
          <w:sz w:val="44"/>
          <w:szCs w:val="44"/>
        </w:rPr>
        <w:t>Tildelingskriteri</w:t>
      </w:r>
      <w:r w:rsidR="00980072" w:rsidRPr="00171C28">
        <w:rPr>
          <w:color w:val="auto"/>
          <w:sz w:val="44"/>
          <w:szCs w:val="44"/>
        </w:rPr>
        <w:t>er</w:t>
      </w:r>
      <w:bookmarkEnd w:id="7"/>
    </w:p>
    <w:p w:rsidR="00687443" w:rsidRPr="00171C28" w:rsidRDefault="00B3035E">
      <w:r w:rsidRPr="00171C28">
        <w:lastRenderedPageBreak/>
        <w:t>Tildeling af kontrakten vil ske ud fra kriteriet "økonomisk mest fordelagtige tilbud".</w:t>
      </w:r>
    </w:p>
    <w:p w:rsidR="00687443" w:rsidRDefault="00B3035E">
      <w:r w:rsidRPr="00171C28">
        <w:t xml:space="preserve">Tilbuddene vil blive vurderet ud fra følgende underkriterier </w:t>
      </w:r>
      <w:r w:rsidR="00980072" w:rsidRPr="00171C28">
        <w:t>(i prioriteret rækkefølge):</w:t>
      </w:r>
    </w:p>
    <w:p w:rsidR="00C36683" w:rsidRPr="00C36683" w:rsidRDefault="00C36683" w:rsidP="00C36683">
      <w:pPr>
        <w:pStyle w:val="Listeafsnit"/>
        <w:numPr>
          <w:ilvl w:val="0"/>
          <w:numId w:val="18"/>
        </w:numPr>
        <w:spacing w:after="0" w:line="240" w:lineRule="auto"/>
        <w:rPr>
          <w:rFonts w:ascii="Arial" w:eastAsia="Times New Roman" w:hAnsi="Arial" w:cs="Arial"/>
          <w:lang w:eastAsia="da-DK"/>
        </w:rPr>
      </w:pPr>
      <w:r w:rsidRPr="00C36683">
        <w:rPr>
          <w:rFonts w:ascii="Arial" w:eastAsia="Times New Roman" w:hAnsi="Arial" w:cs="Arial"/>
          <w:lang w:eastAsia="da-DK"/>
        </w:rPr>
        <w:t>At ideen til spil-elementet er original, og at resultatet kan blive en markant del af den digitale oplysningsindsats</w:t>
      </w:r>
      <w:r>
        <w:rPr>
          <w:rFonts w:ascii="Arial" w:eastAsia="Times New Roman" w:hAnsi="Arial" w:cs="Arial"/>
          <w:lang w:eastAsia="da-DK"/>
        </w:rPr>
        <w:br/>
      </w:r>
    </w:p>
    <w:p w:rsidR="00C81779" w:rsidRDefault="00C36683" w:rsidP="00C36683">
      <w:pPr>
        <w:pStyle w:val="Listeafsnit"/>
        <w:numPr>
          <w:ilvl w:val="0"/>
          <w:numId w:val="18"/>
        </w:numPr>
        <w:spacing w:after="0" w:line="240" w:lineRule="auto"/>
        <w:rPr>
          <w:rFonts w:ascii="Arial" w:eastAsia="Times New Roman" w:hAnsi="Arial" w:cs="Arial"/>
          <w:lang w:eastAsia="da-DK"/>
        </w:rPr>
      </w:pPr>
      <w:r w:rsidRPr="00C36683">
        <w:rPr>
          <w:rFonts w:ascii="Arial" w:eastAsia="Times New Roman" w:hAnsi="Arial" w:cs="Arial"/>
          <w:lang w:eastAsia="da-DK"/>
        </w:rPr>
        <w:t xml:space="preserve">Tidligere erfaring med udvikling af spil til målgruppen </w:t>
      </w:r>
      <w:r w:rsidR="00C81779">
        <w:rPr>
          <w:rFonts w:ascii="Arial" w:eastAsia="Times New Roman" w:hAnsi="Arial" w:cs="Arial"/>
          <w:lang w:eastAsia="da-DK"/>
        </w:rPr>
        <w:br/>
      </w:r>
    </w:p>
    <w:p w:rsidR="00C36683" w:rsidRPr="00C81779" w:rsidRDefault="00C81779" w:rsidP="00C81779">
      <w:pPr>
        <w:pStyle w:val="Listeafsnit"/>
        <w:numPr>
          <w:ilvl w:val="0"/>
          <w:numId w:val="18"/>
        </w:numPr>
        <w:spacing w:after="0" w:line="240" w:lineRule="auto"/>
        <w:rPr>
          <w:rFonts w:ascii="Arial" w:eastAsia="Times New Roman" w:hAnsi="Arial" w:cs="Arial"/>
          <w:lang w:eastAsia="da-DK"/>
        </w:rPr>
      </w:pPr>
      <w:r w:rsidRPr="00C81779">
        <w:rPr>
          <w:rFonts w:ascii="Arial" w:hAnsi="Arial" w:cs="Arial"/>
        </w:rPr>
        <w:t>Hvorvidt tilbudsgiveren har detaljerede og troværdige planer for sikring af leveringen.</w:t>
      </w:r>
      <w:r w:rsidR="00C36683" w:rsidRPr="00C81779">
        <w:rPr>
          <w:rFonts w:ascii="Arial" w:eastAsia="Times New Roman" w:hAnsi="Arial" w:cs="Arial"/>
          <w:lang w:eastAsia="da-DK"/>
        </w:rPr>
        <w:br/>
      </w:r>
    </w:p>
    <w:p w:rsidR="00C36683" w:rsidRPr="00C36683" w:rsidRDefault="00C36683" w:rsidP="00C36683">
      <w:pPr>
        <w:pStyle w:val="Listeafsnit"/>
        <w:numPr>
          <w:ilvl w:val="0"/>
          <w:numId w:val="18"/>
        </w:numPr>
        <w:spacing w:after="0" w:line="240" w:lineRule="auto"/>
        <w:rPr>
          <w:rFonts w:ascii="Arial" w:eastAsia="Times New Roman" w:hAnsi="Arial" w:cs="Arial"/>
          <w:lang w:eastAsia="da-DK"/>
        </w:rPr>
      </w:pPr>
      <w:r w:rsidRPr="00C36683">
        <w:rPr>
          <w:rFonts w:ascii="Arial" w:eastAsia="Times New Roman" w:hAnsi="Arial" w:cs="Arial"/>
          <w:lang w:eastAsia="da-DK"/>
        </w:rPr>
        <w:t>Det økonomisk mest fordelagtige i forhold til ovenstående kriterier</w:t>
      </w:r>
      <w:r>
        <w:rPr>
          <w:rFonts w:ascii="Arial" w:eastAsia="Times New Roman" w:hAnsi="Arial" w:cs="Arial"/>
          <w:lang w:eastAsia="da-DK"/>
        </w:rPr>
        <w:br/>
      </w:r>
      <w:bookmarkStart w:id="8" w:name="_GoBack"/>
      <w:bookmarkEnd w:id="8"/>
    </w:p>
    <w:p w:rsidR="00980072" w:rsidRPr="00171C28" w:rsidRDefault="00980072" w:rsidP="00980072"/>
    <w:p w:rsidR="00687443" w:rsidRPr="00171C28" w:rsidRDefault="00B3035E">
      <w:pPr>
        <w:pStyle w:val="Overskrift2"/>
        <w:rPr>
          <w:color w:val="auto"/>
          <w:sz w:val="44"/>
          <w:szCs w:val="44"/>
        </w:rPr>
      </w:pPr>
      <w:bookmarkStart w:id="9" w:name="_Toc252634165"/>
      <w:r w:rsidRPr="00171C28">
        <w:rPr>
          <w:color w:val="auto"/>
          <w:sz w:val="44"/>
          <w:szCs w:val="44"/>
        </w:rPr>
        <w:t>Aflevering af tilbud</w:t>
      </w:r>
      <w:bookmarkEnd w:id="9"/>
    </w:p>
    <w:p w:rsidR="00687443" w:rsidRPr="00171C28" w:rsidRDefault="00B3035E">
      <w:r w:rsidRPr="00171C28">
        <w:t xml:space="preserve">Frist for modtagelse af tilbud er </w:t>
      </w:r>
      <w:r w:rsidR="00764641" w:rsidRPr="00171C28">
        <w:t>mandag den 4. februar 2013 kl. 12.00.</w:t>
      </w:r>
    </w:p>
    <w:p w:rsidR="00687443" w:rsidRPr="00171C28" w:rsidRDefault="00B3035E">
      <w:r w:rsidRPr="00171C28">
        <w:t>Tilbuddet skal være skriftligt og sendes til/afleveres på følgende adresse:</w:t>
      </w:r>
    </w:p>
    <w:p w:rsidR="00764641" w:rsidRPr="00171C28" w:rsidRDefault="00764641" w:rsidP="00764641">
      <w:bookmarkStart w:id="10" w:name="_Toc252634166"/>
      <w:r w:rsidRPr="00171C28">
        <w:br/>
        <w:t>Danske Regioner</w:t>
      </w:r>
    </w:p>
    <w:p w:rsidR="00764641" w:rsidRPr="00171C28" w:rsidRDefault="00764641" w:rsidP="00764641">
      <w:r w:rsidRPr="00171C28">
        <w:t>Att. kommunikationschef Jacob Winther</w:t>
      </w:r>
    </w:p>
    <w:p w:rsidR="00764641" w:rsidRPr="00171C28" w:rsidRDefault="00764641" w:rsidP="00764641">
      <w:r w:rsidRPr="00171C28">
        <w:t>Dampfærgevej 22</w:t>
      </w:r>
    </w:p>
    <w:p w:rsidR="00764641" w:rsidRPr="00171C28" w:rsidRDefault="00764641" w:rsidP="00764641">
      <w:r w:rsidRPr="00171C28">
        <w:t>2100 København K</w:t>
      </w:r>
    </w:p>
    <w:p w:rsidR="00764641" w:rsidRPr="00171C28" w:rsidRDefault="00764641">
      <w:pPr>
        <w:pStyle w:val="Overskrift3"/>
        <w:rPr>
          <w:color w:val="auto"/>
        </w:rPr>
      </w:pPr>
    </w:p>
    <w:p w:rsidR="00687443" w:rsidRPr="00171C28" w:rsidRDefault="00B3035E">
      <w:pPr>
        <w:pStyle w:val="Overskrift3"/>
        <w:rPr>
          <w:b w:val="0"/>
          <w:color w:val="auto"/>
          <w:sz w:val="34"/>
          <w:szCs w:val="34"/>
        </w:rPr>
      </w:pPr>
      <w:r w:rsidRPr="00171C28">
        <w:rPr>
          <w:b w:val="0"/>
          <w:color w:val="auto"/>
          <w:sz w:val="34"/>
          <w:szCs w:val="34"/>
        </w:rPr>
        <w:t>Formkrav</w:t>
      </w:r>
      <w:bookmarkEnd w:id="10"/>
    </w:p>
    <w:p w:rsidR="00687443" w:rsidRPr="00171C28" w:rsidRDefault="00B3035E">
      <w:r w:rsidRPr="00171C28">
        <w:t>Følgende forudsætninger er gældende i forbindelse med tilbudsafgivning:</w:t>
      </w:r>
    </w:p>
    <w:p w:rsidR="00687443" w:rsidRPr="00171C28" w:rsidRDefault="00B3035E">
      <w:r w:rsidRPr="00171C28">
        <w:t>Tilbuddet bedes afleveret i én papirbaseret underskrevet original samt en elektronisk version på usb-stick eller cd-rom.</w:t>
      </w:r>
    </w:p>
    <w:p w:rsidR="00687443" w:rsidRPr="00171C28" w:rsidRDefault="00B3035E">
      <w:r w:rsidRPr="00171C28">
        <w:t>Tilbuddet skal udarbejdes på dansk. Eventuelle bilag omfattende tekniske specifikationer, brochuremateriale eller lign. må dog gerne være på en</w:t>
      </w:r>
      <w:r w:rsidR="00764641" w:rsidRPr="00171C28">
        <w:t>gelsk og eventuelle andre sprog</w:t>
      </w:r>
      <w:r w:rsidRPr="00171C28">
        <w:t>, såfremt dokumentationen ikke foreligger på dansk.</w:t>
      </w:r>
    </w:p>
    <w:p w:rsidR="00687443" w:rsidRPr="00171C28" w:rsidRDefault="00B3035E">
      <w:r w:rsidRPr="00171C28">
        <w:t>Tilbuddets priser skal være i danske kroner og ekskl. moms.</w:t>
      </w:r>
    </w:p>
    <w:p w:rsidR="00687443" w:rsidRPr="00171C28" w:rsidRDefault="00B3035E">
      <w:r w:rsidRPr="00171C28">
        <w:t>Tilbuddet skal være mærket: `</w:t>
      </w:r>
      <w:r w:rsidR="00C81779">
        <w:t>Udbud af spil-element</w:t>
      </w:r>
      <w:r w:rsidR="00764641" w:rsidRPr="00171C28">
        <w:t xml:space="preserve"> til RV13 </w:t>
      </w:r>
      <w:r w:rsidRPr="00171C28">
        <w:t>- Må ikke åbnes`.</w:t>
      </w:r>
    </w:p>
    <w:p w:rsidR="00764641" w:rsidRPr="00171C28" w:rsidRDefault="00764641">
      <w:pPr>
        <w:pStyle w:val="Overskrift2"/>
        <w:rPr>
          <w:color w:val="auto"/>
        </w:rPr>
      </w:pPr>
      <w:bookmarkStart w:id="11" w:name="_Toc252634167"/>
    </w:p>
    <w:p w:rsidR="00687443" w:rsidRPr="00171C28" w:rsidRDefault="00B3035E">
      <w:pPr>
        <w:pStyle w:val="Overskrift2"/>
        <w:rPr>
          <w:color w:val="auto"/>
        </w:rPr>
      </w:pPr>
      <w:r w:rsidRPr="00171C28">
        <w:rPr>
          <w:color w:val="auto"/>
        </w:rPr>
        <w:t>Spørgsmål - orienteringsmøder, betingelser osv.</w:t>
      </w:r>
      <w:bookmarkEnd w:id="11"/>
    </w:p>
    <w:p w:rsidR="00687443" w:rsidRPr="00171C28" w:rsidRDefault="00B3035E">
      <w:r w:rsidRPr="00171C28">
        <w:lastRenderedPageBreak/>
        <w:t xml:space="preserve">Spørgsmål stillet </w:t>
      </w:r>
      <w:r w:rsidR="00374B35">
        <w:t>10</w:t>
      </w:r>
      <w:r w:rsidR="00764641" w:rsidRPr="00171C28">
        <w:t xml:space="preserve"> </w:t>
      </w:r>
      <w:r w:rsidRPr="00171C28">
        <w:t>dage før tilb</w:t>
      </w:r>
      <w:r w:rsidR="00463F64">
        <w:t>udsfristen, vil blive besvaret. S</w:t>
      </w:r>
      <w:r w:rsidRPr="00171C28">
        <w:t>enest 6 dage før tilbudsfristen</w:t>
      </w:r>
      <w:r w:rsidR="00463F64">
        <w:t xml:space="preserve"> vil spørgsmålene blive besvaret</w:t>
      </w:r>
      <w:r w:rsidRPr="00171C28">
        <w:t xml:space="preserve">.  Spørgsmål vil blive besvaret skriftligt. Spørgsmål og svar vil i anonymiseret form blive offentliggjort på </w:t>
      </w:r>
      <w:hyperlink r:id="rId9" w:history="1">
        <w:r w:rsidR="00463F64" w:rsidRPr="00201268">
          <w:rPr>
            <w:rStyle w:val="Hyperlink"/>
          </w:rPr>
          <w:t>www.regioner.dk</w:t>
        </w:r>
      </w:hyperlink>
      <w:r w:rsidR="00463F64">
        <w:t xml:space="preserve">. </w:t>
      </w:r>
    </w:p>
    <w:p w:rsidR="00374B35" w:rsidRPr="00171C28" w:rsidRDefault="00374B35"/>
    <w:p w:rsidR="00687443" w:rsidRPr="00171C28" w:rsidRDefault="00B3035E">
      <w:pPr>
        <w:pStyle w:val="Overskrift2"/>
        <w:rPr>
          <w:color w:val="auto"/>
        </w:rPr>
      </w:pPr>
      <w:bookmarkStart w:id="12" w:name="_Toc252634168"/>
      <w:r w:rsidRPr="00171C28">
        <w:rPr>
          <w:color w:val="auto"/>
        </w:rPr>
        <w:t>Tidsplan</w:t>
      </w:r>
      <w:bookmarkEnd w:id="12"/>
    </w:p>
    <w:p w:rsidR="00687443" w:rsidRPr="00171C28" w:rsidRDefault="00B3035E">
      <w:r w:rsidRPr="00171C28">
        <w:t>Udbuddet forventes gennemført i henhold til nedenstående tidsplan:</w:t>
      </w:r>
    </w:p>
    <w:p w:rsidR="00687443" w:rsidRPr="00171C28" w:rsidRDefault="00687443"/>
    <w:tbl>
      <w:tblPr>
        <w:tblStyle w:val="basicTable"/>
        <w:tblW w:w="0" w:type="auto"/>
        <w:tblInd w:w="0" w:type="dxa"/>
        <w:tblLook w:val="04A0" w:firstRow="1" w:lastRow="0" w:firstColumn="1" w:lastColumn="0" w:noHBand="0" w:noVBand="1"/>
      </w:tblPr>
      <w:tblGrid>
        <w:gridCol w:w="5339"/>
        <w:gridCol w:w="3831"/>
      </w:tblGrid>
      <w:tr w:rsidR="00171C28" w:rsidRPr="00171C28">
        <w:tc>
          <w:tcPr>
            <w:tcW w:w="4500" w:type="dxa"/>
          </w:tcPr>
          <w:p w:rsidR="00687443" w:rsidRPr="00171C28" w:rsidRDefault="00B3035E">
            <w:r w:rsidRPr="00171C28">
              <w:rPr>
                <w:b/>
              </w:rPr>
              <w:t>Aktivitet</w:t>
            </w:r>
          </w:p>
        </w:tc>
        <w:tc>
          <w:tcPr>
            <w:tcW w:w="4500" w:type="dxa"/>
          </w:tcPr>
          <w:p w:rsidR="00687443" w:rsidRPr="00171C28" w:rsidRDefault="00B3035E">
            <w:r w:rsidRPr="00171C28">
              <w:rPr>
                <w:b/>
              </w:rPr>
              <w:t>Dato</w:t>
            </w:r>
          </w:p>
        </w:tc>
      </w:tr>
      <w:tr w:rsidR="00171C28" w:rsidRPr="00171C28">
        <w:tc>
          <w:tcPr>
            <w:tcW w:w="4500" w:type="dxa"/>
          </w:tcPr>
          <w:p w:rsidR="00687443" w:rsidRPr="00171C28" w:rsidRDefault="00B3035E">
            <w:r w:rsidRPr="00171C28">
              <w:t>Offentliggørelse</w:t>
            </w:r>
          </w:p>
        </w:tc>
        <w:tc>
          <w:tcPr>
            <w:tcW w:w="4500" w:type="dxa"/>
          </w:tcPr>
          <w:p w:rsidR="00687443" w:rsidRPr="00171C28" w:rsidRDefault="00C36683" w:rsidP="00463F64">
            <w:r>
              <w:t>7</w:t>
            </w:r>
            <w:r w:rsidR="00463F64" w:rsidRPr="00463F64">
              <w:t>. januar 2013</w:t>
            </w:r>
          </w:p>
        </w:tc>
      </w:tr>
      <w:tr w:rsidR="00171C28" w:rsidRPr="00171C28">
        <w:tc>
          <w:tcPr>
            <w:tcW w:w="6000" w:type="dxa"/>
          </w:tcPr>
          <w:p w:rsidR="00687443" w:rsidRPr="00171C28" w:rsidRDefault="00B3035E">
            <w:r w:rsidRPr="00171C28">
              <w:t>Frist for indsendelse af spørgsmål</w:t>
            </w:r>
          </w:p>
        </w:tc>
        <w:tc>
          <w:tcPr>
            <w:tcW w:w="3000" w:type="dxa"/>
          </w:tcPr>
          <w:p w:rsidR="00687443" w:rsidRPr="00171C28" w:rsidRDefault="00463F64" w:rsidP="00171C28">
            <w:r>
              <w:t>21</w:t>
            </w:r>
            <w:r w:rsidR="00171C28" w:rsidRPr="00171C28">
              <w:t>. januar</w:t>
            </w:r>
            <w:r w:rsidR="00B3035E" w:rsidRPr="00171C28">
              <w:t xml:space="preserve"> 2013</w:t>
            </w:r>
          </w:p>
        </w:tc>
      </w:tr>
      <w:tr w:rsidR="00171C28" w:rsidRPr="00171C28">
        <w:tc>
          <w:tcPr>
            <w:tcW w:w="6000" w:type="dxa"/>
          </w:tcPr>
          <w:p w:rsidR="00687443" w:rsidRPr="00171C28" w:rsidRDefault="00B3035E">
            <w:r w:rsidRPr="00171C28">
              <w:t>Tilbudsfrist</w:t>
            </w:r>
          </w:p>
        </w:tc>
        <w:tc>
          <w:tcPr>
            <w:tcW w:w="3000" w:type="dxa"/>
          </w:tcPr>
          <w:p w:rsidR="00687443" w:rsidRPr="00171C28" w:rsidRDefault="00764641" w:rsidP="00764641">
            <w:r w:rsidRPr="00171C28">
              <w:t>4</w:t>
            </w:r>
            <w:r w:rsidR="00B3035E" w:rsidRPr="00171C28">
              <w:t>. februar 2013</w:t>
            </w:r>
          </w:p>
        </w:tc>
      </w:tr>
      <w:tr w:rsidR="00171C28" w:rsidRPr="00171C28">
        <w:tc>
          <w:tcPr>
            <w:tcW w:w="6000" w:type="dxa"/>
          </w:tcPr>
          <w:p w:rsidR="00687443" w:rsidRPr="00171C28" w:rsidRDefault="00B3035E">
            <w:r w:rsidRPr="00171C28">
              <w:t>Orientering om det vindende tilbud</w:t>
            </w:r>
          </w:p>
        </w:tc>
        <w:tc>
          <w:tcPr>
            <w:tcW w:w="3000" w:type="dxa"/>
          </w:tcPr>
          <w:p w:rsidR="00687443" w:rsidRPr="00171C28" w:rsidRDefault="00764641" w:rsidP="00764641">
            <w:r w:rsidRPr="00171C28">
              <w:t>11</w:t>
            </w:r>
            <w:r w:rsidR="00B3035E" w:rsidRPr="00171C28">
              <w:t>. februar 2013</w:t>
            </w:r>
          </w:p>
        </w:tc>
      </w:tr>
      <w:tr w:rsidR="00171C28" w:rsidRPr="00171C28">
        <w:tc>
          <w:tcPr>
            <w:tcW w:w="6000" w:type="dxa"/>
          </w:tcPr>
          <w:p w:rsidR="00687443" w:rsidRPr="00171C28" w:rsidRDefault="00B3035E">
            <w:r w:rsidRPr="00171C28">
              <w:t>Kontraktunderskrivelse</w:t>
            </w:r>
          </w:p>
        </w:tc>
        <w:tc>
          <w:tcPr>
            <w:tcW w:w="3000" w:type="dxa"/>
          </w:tcPr>
          <w:p w:rsidR="00687443" w:rsidRPr="00171C28" w:rsidRDefault="00B3035E" w:rsidP="00764641">
            <w:r w:rsidRPr="00171C28">
              <w:t>1</w:t>
            </w:r>
            <w:r w:rsidR="00764641" w:rsidRPr="00171C28">
              <w:t>5</w:t>
            </w:r>
            <w:r w:rsidRPr="00171C28">
              <w:t xml:space="preserve">. </w:t>
            </w:r>
            <w:r w:rsidR="00764641" w:rsidRPr="00171C28">
              <w:t>februar</w:t>
            </w:r>
            <w:r w:rsidRPr="00171C28">
              <w:t xml:space="preserve"> 2013</w:t>
            </w:r>
          </w:p>
        </w:tc>
      </w:tr>
    </w:tbl>
    <w:p w:rsidR="00687443" w:rsidRPr="00171C28" w:rsidRDefault="00687443"/>
    <w:p w:rsidR="00687443" w:rsidRPr="00171C28" w:rsidRDefault="00B3035E">
      <w:r w:rsidRPr="00171C28">
        <w:t>Der gøres opmærksom på, at der kan ske afvigelser fra den forventede tidsplan. Større afvigelser vil blive meddelt tilbudsgiverne.</w:t>
      </w:r>
    </w:p>
    <w:p w:rsidR="00764641" w:rsidRPr="00171C28" w:rsidRDefault="00764641">
      <w:pPr>
        <w:pStyle w:val="Overskrift2"/>
        <w:rPr>
          <w:color w:val="auto"/>
        </w:rPr>
      </w:pPr>
      <w:bookmarkStart w:id="13" w:name="_Toc252634169"/>
    </w:p>
    <w:p w:rsidR="00687443" w:rsidRPr="00171C28" w:rsidRDefault="00B3035E">
      <w:pPr>
        <w:pStyle w:val="Overskrift2"/>
        <w:rPr>
          <w:color w:val="auto"/>
        </w:rPr>
      </w:pPr>
      <w:bookmarkStart w:id="14" w:name="_Toc252634171"/>
      <w:bookmarkEnd w:id="13"/>
      <w:r w:rsidRPr="00171C28">
        <w:rPr>
          <w:color w:val="auto"/>
        </w:rPr>
        <w:t>Oplysning om underleverandører/konsortiedannelse</w:t>
      </w:r>
      <w:bookmarkEnd w:id="14"/>
    </w:p>
    <w:p w:rsidR="00764641" w:rsidRPr="00171C28" w:rsidRDefault="00B3035E" w:rsidP="00764641">
      <w:r w:rsidRPr="00171C28">
        <w:t xml:space="preserve">Tilbudsgiver skal klart og entydigt i tilbuddet angive </w:t>
      </w:r>
      <w:r w:rsidR="00764641" w:rsidRPr="00171C28">
        <w:t xml:space="preserve">hvem der er ansvarlig </w:t>
      </w:r>
      <w:r w:rsidRPr="00171C28">
        <w:t>over for</w:t>
      </w:r>
      <w:r w:rsidR="00764641" w:rsidRPr="00171C28">
        <w:t xml:space="preserve"> Danske Regioner.</w:t>
      </w:r>
    </w:p>
    <w:p w:rsidR="00687443" w:rsidRPr="00171C28" w:rsidRDefault="00B3035E" w:rsidP="00764641">
      <w:r w:rsidRPr="00171C28">
        <w:t>Konsortier: Hvis tilbuddet afgives af et konsortium omfattende flere ansvarlige tilbudsgivere, skal de i konsortiet deltagende juridiske personer hver især angives klart og entydigt. Deltagere i konsortiet hæfter solidarisk for tilbuddet og evt. kontrakt.</w:t>
      </w:r>
    </w:p>
    <w:p w:rsidR="00687443" w:rsidRPr="00171C28" w:rsidRDefault="00B3035E">
      <w:pPr>
        <w:numPr>
          <w:ilvl w:val="0"/>
          <w:numId w:val="3"/>
        </w:numPr>
      </w:pPr>
      <w:r w:rsidRPr="00171C28">
        <w:t xml:space="preserve">Underleverandører: Såfremt tilbudsgiver vælger at anvende underleverandører til udførelsen af den udbudte ydelse, ønskes navne på den eller disse juridiske personer angivet klart og entydigt i tilbuddet. Anvendelse af underleverandører kan ikke fritage eller begrænse tilbudsgivers fulde ansvar under eventuel kontrakt. </w:t>
      </w:r>
    </w:p>
    <w:p w:rsidR="00374B35" w:rsidRDefault="006303E5" w:rsidP="00463F64">
      <w:r w:rsidRPr="00171C28">
        <w:t>.</w:t>
      </w:r>
      <w:bookmarkStart w:id="15" w:name="_Toc252634176"/>
    </w:p>
    <w:p w:rsidR="00687443" w:rsidRPr="00171C28" w:rsidRDefault="00B3035E">
      <w:pPr>
        <w:pStyle w:val="Overskrift2"/>
        <w:rPr>
          <w:color w:val="auto"/>
        </w:rPr>
      </w:pPr>
      <w:r w:rsidRPr="00171C28">
        <w:rPr>
          <w:color w:val="auto"/>
        </w:rPr>
        <w:t>Annullering</w:t>
      </w:r>
      <w:bookmarkEnd w:id="15"/>
    </w:p>
    <w:p w:rsidR="006303E5" w:rsidRPr="00171C28" w:rsidRDefault="00B3035E" w:rsidP="006303E5">
      <w:r w:rsidRPr="00171C28">
        <w:lastRenderedPageBreak/>
        <w:t>Indtil udbuddet er afsluttet med indgåelse af kontrakt, vil udbuddet af</w:t>
      </w:r>
      <w:r w:rsidR="006303E5" w:rsidRPr="00171C28">
        <w:t xml:space="preserve"> Danske Regioner </w:t>
      </w:r>
      <w:r w:rsidRPr="00171C28">
        <w:t xml:space="preserve">kunne </w:t>
      </w:r>
      <w:r w:rsidR="00C36683" w:rsidRPr="00171C28">
        <w:t>annulleres</w:t>
      </w:r>
      <w:r w:rsidRPr="00171C28">
        <w:t>, hvis</w:t>
      </w:r>
      <w:r w:rsidR="006303E5" w:rsidRPr="00171C28">
        <w:t xml:space="preserve"> Danske Regioner </w:t>
      </w:r>
      <w:r w:rsidRPr="00171C28">
        <w:t>har saglig grund til annullering. Ved evt. annullation sker der ingen erstatning for udgifter i forbindelse med udarbejdelse af tilbud. Såfremt der alene modtages ét tilbud, vil dette tilbud tages i betragtning såfremt</w:t>
      </w:r>
      <w:r w:rsidR="00463F64">
        <w:t xml:space="preserve"> tilbuddet er konditionsmæssigt.</w:t>
      </w:r>
    </w:p>
    <w:sectPr w:rsidR="006303E5" w:rsidRPr="00171C28">
      <w:footerReference w:type="default" r:id="rId10"/>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A6" w:rsidRDefault="00E822A6">
      <w:pPr>
        <w:spacing w:after="0" w:line="240" w:lineRule="auto"/>
      </w:pPr>
      <w:r>
        <w:separator/>
      </w:r>
    </w:p>
  </w:endnote>
  <w:endnote w:type="continuationSeparator" w:id="0">
    <w:p w:rsidR="00E822A6" w:rsidRDefault="00E8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35" w:rsidRDefault="00374B35">
    <w:r>
      <w:t xml:space="preserve">Side </w:t>
    </w:r>
    <w:r>
      <w:fldChar w:fldCharType="begin"/>
    </w:r>
    <w:r>
      <w:instrText>PAGE</w:instrText>
    </w:r>
    <w:r>
      <w:fldChar w:fldCharType="separate"/>
    </w:r>
    <w:r w:rsidR="00C81779">
      <w:rPr>
        <w:noProof/>
      </w:rPr>
      <w:t>4</w:t>
    </w:r>
    <w:r>
      <w:fldChar w:fldCharType="end"/>
    </w:r>
    <w:r>
      <w:t xml:space="preserve"> af </w:t>
    </w:r>
    <w:r>
      <w:fldChar w:fldCharType="begin"/>
    </w:r>
    <w:r>
      <w:instrText>NUMPAGES</w:instrText>
    </w:r>
    <w:r>
      <w:fldChar w:fldCharType="separate"/>
    </w:r>
    <w:r w:rsidR="00C81779">
      <w:rPr>
        <w:noProof/>
      </w:rPr>
      <w:t>5</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A6" w:rsidRDefault="00E822A6">
      <w:pPr>
        <w:spacing w:after="0" w:line="240" w:lineRule="auto"/>
      </w:pPr>
      <w:r>
        <w:separator/>
      </w:r>
    </w:p>
  </w:footnote>
  <w:footnote w:type="continuationSeparator" w:id="0">
    <w:p w:rsidR="00E822A6" w:rsidRDefault="00E82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A2D"/>
    <w:multiLevelType w:val="hybridMultilevel"/>
    <w:tmpl w:val="44222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9C43F3"/>
    <w:multiLevelType w:val="hybridMultilevel"/>
    <w:tmpl w:val="230491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746BFF"/>
    <w:multiLevelType w:val="hybridMultilevel"/>
    <w:tmpl w:val="ED6E2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227B53"/>
    <w:multiLevelType w:val="hybridMultilevel"/>
    <w:tmpl w:val="F41A355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30D4A47"/>
    <w:multiLevelType w:val="hybridMultilevel"/>
    <w:tmpl w:val="80605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62F1B44"/>
    <w:multiLevelType w:val="hybridMultilevel"/>
    <w:tmpl w:val="4F6C4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65D14DC4"/>
    <w:multiLevelType w:val="multilevel"/>
    <w:tmpl w:val="A490BB5A"/>
    <w:lvl w:ilvl="0">
      <w:start w:val="1"/>
      <w:numFmt w:val="lowerLetter"/>
      <w:pStyle w:val="PUNKTTEGNABCSORT"/>
      <w:lvlText w:val="%1)"/>
      <w:lvlJc w:val="left"/>
      <w:pPr>
        <w:tabs>
          <w:tab w:val="num" w:pos="1834"/>
        </w:tabs>
        <w:ind w:left="1834" w:hanging="360"/>
      </w:pPr>
      <w:rPr>
        <w:sz w:val="20"/>
        <w:szCs w:val="20"/>
      </w:rPr>
    </w:lvl>
    <w:lvl w:ilvl="1">
      <w:start w:val="1"/>
      <w:numFmt w:val="bullet"/>
      <w:lvlText w:val="▬"/>
      <w:lvlJc w:val="left"/>
      <w:pPr>
        <w:tabs>
          <w:tab w:val="num" w:pos="2438"/>
        </w:tabs>
        <w:ind w:left="3005" w:hanging="567"/>
      </w:pPr>
      <w:rPr>
        <w:rFonts w:ascii="Courier New" w:hAnsi="Courier New" w:cs="Times New Roman"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4">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C9121F3"/>
    <w:multiLevelType w:val="hybridMultilevel"/>
    <w:tmpl w:val="54E65F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8"/>
  </w:num>
  <w:num w:numId="4">
    <w:abstractNumId w:val="14"/>
  </w:num>
  <w:num w:numId="5">
    <w:abstractNumId w:val="11"/>
  </w:num>
  <w:num w:numId="6">
    <w:abstractNumId w:val="15"/>
  </w:num>
  <w:num w:numId="7">
    <w:abstractNumId w:val="5"/>
  </w:num>
  <w:num w:numId="8">
    <w:abstractNumId w:val="6"/>
  </w:num>
  <w:num w:numId="9">
    <w:abstractNumId w:val="3"/>
  </w:num>
  <w:num w:numId="10">
    <w:abstractNumId w:val="16"/>
  </w:num>
  <w:num w:numId="11">
    <w:abstractNumId w:val="2"/>
  </w:num>
  <w:num w:numId="12">
    <w:abstractNumId w:val="10"/>
  </w:num>
  <w:num w:numId="13">
    <w:abstractNumId w:val="1"/>
  </w:num>
  <w:num w:numId="14">
    <w:abstractNumId w:val="7"/>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43"/>
    <w:rsid w:val="0001567B"/>
    <w:rsid w:val="000A614E"/>
    <w:rsid w:val="00171C28"/>
    <w:rsid w:val="001D0BD4"/>
    <w:rsid w:val="00374B35"/>
    <w:rsid w:val="003E4C75"/>
    <w:rsid w:val="00463F64"/>
    <w:rsid w:val="0054088F"/>
    <w:rsid w:val="00622CE7"/>
    <w:rsid w:val="006303E5"/>
    <w:rsid w:val="00687443"/>
    <w:rsid w:val="00764641"/>
    <w:rsid w:val="00980072"/>
    <w:rsid w:val="00B3035E"/>
    <w:rsid w:val="00C36683"/>
    <w:rsid w:val="00C81779"/>
    <w:rsid w:val="00DC6929"/>
    <w:rsid w:val="00E822A6"/>
    <w:rsid w:val="00F16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41"/>
  </w:style>
  <w:style w:type="paragraph" w:styleId="Overskrift1">
    <w:name w:val="heading 1"/>
    <w:pPr>
      <w:spacing w:before="330" w:after="220"/>
      <w:outlineLvl w:val="0"/>
    </w:pPr>
    <w:rPr>
      <w:color w:val="333333"/>
      <w:sz w:val="44"/>
      <w:szCs w:val="44"/>
    </w:rPr>
  </w:style>
  <w:style w:type="paragraph" w:styleId="Overskrift2">
    <w:name w:val="heading 2"/>
    <w:link w:val="Overskrift2Tegn"/>
    <w:pPr>
      <w:spacing w:before="220" w:after="220"/>
      <w:outlineLvl w:val="1"/>
    </w:pPr>
    <w:rPr>
      <w:color w:val="333333"/>
      <w:sz w:val="34"/>
      <w:szCs w:val="34"/>
    </w:rPr>
  </w:style>
  <w:style w:type="paragraph" w:styleId="Overskrift3">
    <w:name w:val="heading 3"/>
    <w:pPr>
      <w:spacing w:before="220"/>
      <w:outlineLvl w:val="2"/>
    </w:pPr>
    <w:rPr>
      <w:b/>
      <w:color w:val="333333"/>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basicTable">
    <w:name w:val="basicTable"/>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50" w:type="dxa"/>
        <w:left w:w="50" w:type="dxa"/>
        <w:bottom w:w="50" w:type="dxa"/>
        <w:right w:w="50" w:type="dxa"/>
      </w:tblCellMar>
    </w:tblPr>
  </w:style>
  <w:style w:type="table" w:customStyle="1" w:styleId="Sidehoved1">
    <w:name w:val="Sidehoved1"/>
    <w:uiPriority w:val="99"/>
    <w:tblPr>
      <w:tblCellMar>
        <w:top w:w="100" w:type="dxa"/>
        <w:left w:w="100" w:type="dxa"/>
        <w:bottom w:w="100" w:type="dxa"/>
        <w:right w:w="100" w:type="dxa"/>
      </w:tblCellMar>
    </w:tblPr>
    <w:tcPr>
      <w:shd w:val="clear" w:color="auto" w:fill="051D32"/>
    </w:tcPr>
  </w:style>
  <w:style w:type="paragraph" w:styleId="Markeringsbobletekst">
    <w:name w:val="Balloon Text"/>
    <w:basedOn w:val="Normal"/>
    <w:link w:val="MarkeringsbobletekstTegn"/>
    <w:uiPriority w:val="99"/>
    <w:semiHidden/>
    <w:unhideWhenUsed/>
    <w:rsid w:val="00B303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035E"/>
    <w:rPr>
      <w:rFonts w:ascii="Tahoma" w:hAnsi="Tahoma" w:cs="Tahoma"/>
      <w:sz w:val="16"/>
      <w:szCs w:val="16"/>
    </w:rPr>
  </w:style>
  <w:style w:type="character" w:styleId="Hyperlink">
    <w:name w:val="Hyperlink"/>
    <w:basedOn w:val="Standardskrifttypeiafsnit"/>
    <w:uiPriority w:val="99"/>
    <w:unhideWhenUsed/>
    <w:rsid w:val="00B3035E"/>
    <w:rPr>
      <w:color w:val="0000FF" w:themeColor="hyperlink"/>
      <w:u w:val="single"/>
    </w:rPr>
  </w:style>
  <w:style w:type="paragraph" w:styleId="Listeafsnit">
    <w:name w:val="List Paragraph"/>
    <w:basedOn w:val="Normal"/>
    <w:uiPriority w:val="34"/>
    <w:qFormat/>
    <w:rsid w:val="00980072"/>
    <w:pPr>
      <w:ind w:left="720"/>
      <w:contextualSpacing/>
    </w:pPr>
    <w:rPr>
      <w:rFonts w:ascii="Calibri" w:eastAsia="Calibri" w:hAnsi="Calibri" w:cs="Times New Roman"/>
      <w:lang w:eastAsia="en-US"/>
    </w:rPr>
  </w:style>
  <w:style w:type="paragraph" w:customStyle="1" w:styleId="PUNKTTEGNABCSORT">
    <w:name w:val="PUNKTTEGN ABC SORT"/>
    <w:basedOn w:val="Normal"/>
    <w:rsid w:val="006303E5"/>
    <w:pPr>
      <w:numPr>
        <w:numId w:val="15"/>
      </w:numPr>
      <w:spacing w:after="0" w:line="240" w:lineRule="auto"/>
      <w:jc w:val="both"/>
    </w:pPr>
    <w:rPr>
      <w:color w:val="000000"/>
    </w:rPr>
  </w:style>
  <w:style w:type="character" w:customStyle="1" w:styleId="Overskrift2Tegn">
    <w:name w:val="Overskrift 2 Tegn"/>
    <w:link w:val="Overskrift2"/>
    <w:rsid w:val="006303E5"/>
    <w:rPr>
      <w:color w:val="333333"/>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41"/>
  </w:style>
  <w:style w:type="paragraph" w:styleId="Overskrift1">
    <w:name w:val="heading 1"/>
    <w:pPr>
      <w:spacing w:before="330" w:after="220"/>
      <w:outlineLvl w:val="0"/>
    </w:pPr>
    <w:rPr>
      <w:color w:val="333333"/>
      <w:sz w:val="44"/>
      <w:szCs w:val="44"/>
    </w:rPr>
  </w:style>
  <w:style w:type="paragraph" w:styleId="Overskrift2">
    <w:name w:val="heading 2"/>
    <w:link w:val="Overskrift2Tegn"/>
    <w:pPr>
      <w:spacing w:before="220" w:after="220"/>
      <w:outlineLvl w:val="1"/>
    </w:pPr>
    <w:rPr>
      <w:color w:val="333333"/>
      <w:sz w:val="34"/>
      <w:szCs w:val="34"/>
    </w:rPr>
  </w:style>
  <w:style w:type="paragraph" w:styleId="Overskrift3">
    <w:name w:val="heading 3"/>
    <w:pPr>
      <w:spacing w:before="220"/>
      <w:outlineLvl w:val="2"/>
    </w:pPr>
    <w:rPr>
      <w:b/>
      <w:color w:val="333333"/>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basicTable">
    <w:name w:val="basicTable"/>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50" w:type="dxa"/>
        <w:left w:w="50" w:type="dxa"/>
        <w:bottom w:w="50" w:type="dxa"/>
        <w:right w:w="50" w:type="dxa"/>
      </w:tblCellMar>
    </w:tblPr>
  </w:style>
  <w:style w:type="table" w:customStyle="1" w:styleId="Sidehoved1">
    <w:name w:val="Sidehoved1"/>
    <w:uiPriority w:val="99"/>
    <w:tblPr>
      <w:tblCellMar>
        <w:top w:w="100" w:type="dxa"/>
        <w:left w:w="100" w:type="dxa"/>
        <w:bottom w:w="100" w:type="dxa"/>
        <w:right w:w="100" w:type="dxa"/>
      </w:tblCellMar>
    </w:tblPr>
    <w:tcPr>
      <w:shd w:val="clear" w:color="auto" w:fill="051D32"/>
    </w:tcPr>
  </w:style>
  <w:style w:type="paragraph" w:styleId="Markeringsbobletekst">
    <w:name w:val="Balloon Text"/>
    <w:basedOn w:val="Normal"/>
    <w:link w:val="MarkeringsbobletekstTegn"/>
    <w:uiPriority w:val="99"/>
    <w:semiHidden/>
    <w:unhideWhenUsed/>
    <w:rsid w:val="00B303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035E"/>
    <w:rPr>
      <w:rFonts w:ascii="Tahoma" w:hAnsi="Tahoma" w:cs="Tahoma"/>
      <w:sz w:val="16"/>
      <w:szCs w:val="16"/>
    </w:rPr>
  </w:style>
  <w:style w:type="character" w:styleId="Hyperlink">
    <w:name w:val="Hyperlink"/>
    <w:basedOn w:val="Standardskrifttypeiafsnit"/>
    <w:uiPriority w:val="99"/>
    <w:unhideWhenUsed/>
    <w:rsid w:val="00B3035E"/>
    <w:rPr>
      <w:color w:val="0000FF" w:themeColor="hyperlink"/>
      <w:u w:val="single"/>
    </w:rPr>
  </w:style>
  <w:style w:type="paragraph" w:styleId="Listeafsnit">
    <w:name w:val="List Paragraph"/>
    <w:basedOn w:val="Normal"/>
    <w:uiPriority w:val="34"/>
    <w:qFormat/>
    <w:rsid w:val="00980072"/>
    <w:pPr>
      <w:ind w:left="720"/>
      <w:contextualSpacing/>
    </w:pPr>
    <w:rPr>
      <w:rFonts w:ascii="Calibri" w:eastAsia="Calibri" w:hAnsi="Calibri" w:cs="Times New Roman"/>
      <w:lang w:eastAsia="en-US"/>
    </w:rPr>
  </w:style>
  <w:style w:type="paragraph" w:customStyle="1" w:styleId="PUNKTTEGNABCSORT">
    <w:name w:val="PUNKTTEGN ABC SORT"/>
    <w:basedOn w:val="Normal"/>
    <w:rsid w:val="006303E5"/>
    <w:pPr>
      <w:numPr>
        <w:numId w:val="15"/>
      </w:numPr>
      <w:spacing w:after="0" w:line="240" w:lineRule="auto"/>
      <w:jc w:val="both"/>
    </w:pPr>
    <w:rPr>
      <w:color w:val="000000"/>
    </w:rPr>
  </w:style>
  <w:style w:type="character" w:customStyle="1" w:styleId="Overskrift2Tegn">
    <w:name w:val="Overskrift 2 Tegn"/>
    <w:link w:val="Overskrift2"/>
    <w:rsid w:val="006303E5"/>
    <w:rPr>
      <w:color w:val="333333"/>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regioner.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5581</Characters>
  <Application>Microsoft Office Word</Application>
  <DocSecurity>0</DocSecurity>
  <Lines>46</Lines>
  <Paragraphs>12</Paragraphs>
  <ScaleCrop>false</ScaleCrop>
  <HeadingPairs>
    <vt:vector size="6" baseType="variant">
      <vt:variant>
        <vt:lpstr>Titel</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Danske Regioner</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Herning, LHE</dc:creator>
  <cp:lastModifiedBy>Heidi Ryager, HRY</cp:lastModifiedBy>
  <cp:revision>2</cp:revision>
  <cp:lastPrinted>2012-12-21T14:32:00Z</cp:lastPrinted>
  <dcterms:created xsi:type="dcterms:W3CDTF">2013-01-07T13:21:00Z</dcterms:created>
  <dcterms:modified xsi:type="dcterms:W3CDTF">2013-01-07T13:21:00Z</dcterms:modified>
</cp:coreProperties>
</file>