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F4CE9" w14:textId="5D3B91ED" w:rsidR="005E3FC3" w:rsidRPr="00FD78C9" w:rsidRDefault="00571BBE" w:rsidP="007D7217">
      <w:pPr>
        <w:pStyle w:val="Overskrift2"/>
        <w:rPr>
          <w:sz w:val="24"/>
          <w:szCs w:val="24"/>
        </w:rPr>
      </w:pPr>
      <w:r>
        <w:rPr>
          <w:sz w:val="24"/>
          <w:szCs w:val="24"/>
        </w:rPr>
        <w:t>O</w:t>
      </w:r>
      <w:r w:rsidR="00437D36" w:rsidRPr="00FD78C9">
        <w:rPr>
          <w:sz w:val="24"/>
          <w:szCs w:val="24"/>
        </w:rPr>
        <w:t xml:space="preserve">pgavebeskrivelse </w:t>
      </w:r>
      <w:r w:rsidR="00B163FC" w:rsidRPr="00FD78C9">
        <w:rPr>
          <w:sz w:val="24"/>
          <w:szCs w:val="24"/>
        </w:rPr>
        <w:t>for kortlægning af olie- og gasfyr</w:t>
      </w:r>
      <w:r w:rsidR="00CC1415">
        <w:rPr>
          <w:sz w:val="24"/>
          <w:szCs w:val="24"/>
        </w:rPr>
        <w:t xml:space="preserve"> samt potentialet for rentable energiforbedringer</w:t>
      </w:r>
      <w:r w:rsidR="00B163FC" w:rsidRPr="00FD78C9">
        <w:rPr>
          <w:sz w:val="24"/>
          <w:szCs w:val="24"/>
        </w:rPr>
        <w:t xml:space="preserve"> i kommunale og regionale bygninger</w:t>
      </w:r>
    </w:p>
    <w:p w14:paraId="4BE673F7" w14:textId="77777777" w:rsidR="00AC60EA" w:rsidRPr="00B163FC" w:rsidRDefault="00AC60EA" w:rsidP="008F2666">
      <w:pPr>
        <w:rPr>
          <w:szCs w:val="20"/>
        </w:rPr>
      </w:pPr>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8F2666" w:rsidRPr="00B163FC" w14:paraId="3886F171" w14:textId="77777777" w:rsidTr="00A46851">
        <w:tc>
          <w:tcPr>
            <w:tcW w:w="2235" w:type="dxa"/>
          </w:tcPr>
          <w:p w14:paraId="62FBA518" w14:textId="77777777" w:rsidR="00437D36" w:rsidRPr="00FD78C9" w:rsidRDefault="008F2666" w:rsidP="00A46851">
            <w:pPr>
              <w:spacing w:line="220" w:lineRule="exact"/>
              <w:rPr>
                <w:b/>
                <w:sz w:val="16"/>
                <w:szCs w:val="16"/>
              </w:rPr>
            </w:pPr>
            <w:r w:rsidRPr="00FD78C9">
              <w:rPr>
                <w:b/>
                <w:sz w:val="16"/>
                <w:szCs w:val="16"/>
              </w:rPr>
              <w:t>Kontor/afdeling</w:t>
            </w:r>
          </w:p>
          <w:p w14:paraId="6AF965CE" w14:textId="77777777" w:rsidR="008F2666" w:rsidRPr="00FD78C9" w:rsidRDefault="00437D36" w:rsidP="00A46851">
            <w:pPr>
              <w:spacing w:line="220" w:lineRule="exact"/>
              <w:rPr>
                <w:b/>
                <w:sz w:val="16"/>
                <w:szCs w:val="16"/>
              </w:rPr>
            </w:pPr>
            <w:r w:rsidRPr="00FD78C9">
              <w:rPr>
                <w:sz w:val="16"/>
                <w:szCs w:val="16"/>
              </w:rPr>
              <w:t>CEE</w:t>
            </w:r>
          </w:p>
          <w:p w14:paraId="7CC372BD" w14:textId="77777777" w:rsidR="00A53C43" w:rsidRPr="00FD78C9" w:rsidRDefault="00A53C43" w:rsidP="00A46851">
            <w:pPr>
              <w:spacing w:line="220" w:lineRule="exact"/>
              <w:rPr>
                <w:sz w:val="16"/>
                <w:szCs w:val="16"/>
              </w:rPr>
            </w:pPr>
          </w:p>
          <w:p w14:paraId="7115B3DE" w14:textId="77777777" w:rsidR="008F2666" w:rsidRPr="00FD78C9" w:rsidRDefault="008F2666" w:rsidP="00A46851">
            <w:pPr>
              <w:spacing w:line="220" w:lineRule="exact"/>
              <w:rPr>
                <w:b/>
                <w:sz w:val="16"/>
                <w:szCs w:val="16"/>
              </w:rPr>
            </w:pPr>
            <w:r w:rsidRPr="00FD78C9">
              <w:rPr>
                <w:b/>
                <w:sz w:val="16"/>
                <w:szCs w:val="16"/>
              </w:rPr>
              <w:t>Dato</w:t>
            </w:r>
          </w:p>
          <w:p w14:paraId="68A24B8D" w14:textId="4947470A" w:rsidR="008F2666" w:rsidRPr="00FD78C9" w:rsidRDefault="00E02D8F" w:rsidP="00A46851">
            <w:pPr>
              <w:spacing w:line="220" w:lineRule="exact"/>
              <w:rPr>
                <w:sz w:val="16"/>
                <w:szCs w:val="16"/>
              </w:rPr>
            </w:pPr>
            <w:r>
              <w:rPr>
                <w:sz w:val="16"/>
                <w:szCs w:val="16"/>
              </w:rPr>
              <w:t>14</w:t>
            </w:r>
            <w:r w:rsidR="00571BBE">
              <w:rPr>
                <w:sz w:val="16"/>
                <w:szCs w:val="16"/>
              </w:rPr>
              <w:t>-0</w:t>
            </w:r>
            <w:r w:rsidR="00CC1415">
              <w:rPr>
                <w:sz w:val="16"/>
                <w:szCs w:val="16"/>
              </w:rPr>
              <w:t>6</w:t>
            </w:r>
            <w:r w:rsidR="00BC0B2C" w:rsidRPr="00FD78C9">
              <w:rPr>
                <w:sz w:val="16"/>
                <w:szCs w:val="16"/>
              </w:rPr>
              <w:t>-2021</w:t>
            </w:r>
          </w:p>
          <w:p w14:paraId="35393C76" w14:textId="77777777" w:rsidR="002611C9" w:rsidRPr="00FD78C9" w:rsidRDefault="002611C9" w:rsidP="00A46851">
            <w:pPr>
              <w:spacing w:line="220" w:lineRule="exact"/>
              <w:rPr>
                <w:sz w:val="16"/>
                <w:szCs w:val="16"/>
              </w:rPr>
            </w:pPr>
          </w:p>
          <w:p w14:paraId="6FD14558" w14:textId="77777777" w:rsidR="008F2666" w:rsidRPr="00FD78C9" w:rsidRDefault="00A53C43" w:rsidP="00A46851">
            <w:pPr>
              <w:spacing w:line="220" w:lineRule="exact"/>
              <w:rPr>
                <w:sz w:val="16"/>
                <w:szCs w:val="16"/>
              </w:rPr>
            </w:pPr>
            <w:r w:rsidRPr="00FD78C9">
              <w:rPr>
                <w:b/>
                <w:sz w:val="16"/>
                <w:szCs w:val="16"/>
              </w:rPr>
              <w:t>J nr.</w:t>
            </w:r>
            <w:r w:rsidR="00C76EC2" w:rsidRPr="00FD78C9">
              <w:rPr>
                <w:sz w:val="16"/>
                <w:szCs w:val="16"/>
              </w:rPr>
              <w:t xml:space="preserve"> 2021 - 2326</w:t>
            </w:r>
          </w:p>
          <w:p w14:paraId="4A5E2FF0" w14:textId="77777777" w:rsidR="002611C9" w:rsidRPr="00FD78C9" w:rsidRDefault="002611C9" w:rsidP="00A46851">
            <w:pPr>
              <w:spacing w:line="220" w:lineRule="exact"/>
              <w:rPr>
                <w:sz w:val="16"/>
                <w:szCs w:val="16"/>
              </w:rPr>
            </w:pPr>
          </w:p>
          <w:p w14:paraId="1A61E47B" w14:textId="77777777" w:rsidR="008F2666" w:rsidRPr="00B163FC" w:rsidRDefault="008F2666" w:rsidP="00A46851">
            <w:pPr>
              <w:spacing w:line="220" w:lineRule="exact"/>
              <w:rPr>
                <w:szCs w:val="20"/>
                <w:lang w:val="en-US"/>
              </w:rPr>
            </w:pPr>
            <w:r w:rsidRPr="00FD78C9">
              <w:rPr>
                <w:sz w:val="16"/>
                <w:szCs w:val="16"/>
                <w:lang w:val="en-US"/>
              </w:rPr>
              <w:t>/</w:t>
            </w:r>
            <w:r w:rsidR="00437D36" w:rsidRPr="00FD78C9">
              <w:rPr>
                <w:sz w:val="16"/>
                <w:szCs w:val="16"/>
                <w:lang w:val="en-US"/>
              </w:rPr>
              <w:t>ANBN</w:t>
            </w:r>
          </w:p>
        </w:tc>
      </w:tr>
    </w:tbl>
    <w:p w14:paraId="2BE93CB7" w14:textId="77777777" w:rsidR="00437D36" w:rsidRPr="00B163FC" w:rsidRDefault="00437D36" w:rsidP="00437D36">
      <w:pPr>
        <w:pStyle w:val="Overskrift2"/>
        <w:keepLines w:val="0"/>
        <w:numPr>
          <w:ilvl w:val="1"/>
          <w:numId w:val="1"/>
        </w:numPr>
        <w:overflowPunct w:val="0"/>
        <w:autoSpaceDE w:val="0"/>
        <w:autoSpaceDN w:val="0"/>
        <w:adjustRightInd w:val="0"/>
        <w:spacing w:before="0" w:line="240" w:lineRule="auto"/>
        <w:jc w:val="both"/>
        <w:textAlignment w:val="baseline"/>
        <w:rPr>
          <w:sz w:val="20"/>
          <w:szCs w:val="20"/>
        </w:rPr>
      </w:pPr>
      <w:bookmarkStart w:id="0" w:name="_Toc60921103"/>
      <w:r w:rsidRPr="00B163FC">
        <w:rPr>
          <w:sz w:val="20"/>
          <w:szCs w:val="20"/>
        </w:rPr>
        <w:t>Baggrund for opgaven</w:t>
      </w:r>
      <w:bookmarkEnd w:id="0"/>
    </w:p>
    <w:p w14:paraId="2DCB08F4" w14:textId="77777777" w:rsidR="00437D36" w:rsidRPr="00B163FC" w:rsidRDefault="00437D36" w:rsidP="00437D36">
      <w:pPr>
        <w:rPr>
          <w:szCs w:val="20"/>
        </w:rPr>
      </w:pPr>
      <w:r w:rsidRPr="00B163FC">
        <w:rPr>
          <w:szCs w:val="20"/>
        </w:rPr>
        <w:t xml:space="preserve"> </w:t>
      </w:r>
    </w:p>
    <w:p w14:paraId="612355A0" w14:textId="14604AC3" w:rsidR="00437D36" w:rsidRPr="00B163FC" w:rsidRDefault="00437D36" w:rsidP="00437D36">
      <w:pPr>
        <w:rPr>
          <w:szCs w:val="20"/>
        </w:rPr>
      </w:pPr>
      <w:r w:rsidRPr="00B163FC">
        <w:rPr>
          <w:szCs w:val="20"/>
        </w:rPr>
        <w:t xml:space="preserve">I Klimaftale for </w:t>
      </w:r>
      <w:r w:rsidR="00F13EEB">
        <w:rPr>
          <w:szCs w:val="20"/>
        </w:rPr>
        <w:t>E</w:t>
      </w:r>
      <w:r w:rsidRPr="00B163FC">
        <w:rPr>
          <w:szCs w:val="20"/>
        </w:rPr>
        <w:t xml:space="preserve">nergi og </w:t>
      </w:r>
      <w:r w:rsidR="00F13EEB">
        <w:rPr>
          <w:szCs w:val="20"/>
        </w:rPr>
        <w:t>I</w:t>
      </w:r>
      <w:r w:rsidRPr="00B163FC">
        <w:rPr>
          <w:szCs w:val="20"/>
        </w:rPr>
        <w:t>ndustri m.v. af 22. juni 2020 fremgår det, at forligskredsen er enige om, at kommunale og regionale bygningers olie- og gasfyr skal kortlægges. Kortlægningen skal</w:t>
      </w:r>
      <w:r w:rsidR="00CC1415">
        <w:rPr>
          <w:szCs w:val="20"/>
        </w:rPr>
        <w:t xml:space="preserve"> </w:t>
      </w:r>
      <w:r w:rsidRPr="00B163FC">
        <w:rPr>
          <w:szCs w:val="20"/>
        </w:rPr>
        <w:t>udgøre en del af grundlaget for drøftelser med kommunerne og regione</w:t>
      </w:r>
      <w:r w:rsidR="00EE6055" w:rsidRPr="00B163FC">
        <w:rPr>
          <w:szCs w:val="20"/>
        </w:rPr>
        <w:t>rne om, at de frivilligt udfaser</w:t>
      </w:r>
      <w:r w:rsidRPr="00B163FC">
        <w:rPr>
          <w:szCs w:val="20"/>
        </w:rPr>
        <w:t xml:space="preserve"> brugen af olie- og gasfyr til opvarmningsformål i bygninger i relevante regi bl.a. i de grønne samarbejdsudvalg. </w:t>
      </w:r>
    </w:p>
    <w:p w14:paraId="2398C4ED" w14:textId="77777777" w:rsidR="00437D36" w:rsidRPr="00B163FC" w:rsidRDefault="00437D36" w:rsidP="00437D36">
      <w:pPr>
        <w:rPr>
          <w:szCs w:val="20"/>
        </w:rPr>
      </w:pPr>
    </w:p>
    <w:p w14:paraId="36C77DDB" w14:textId="1419C437" w:rsidR="00437D36" w:rsidRPr="00B163FC" w:rsidRDefault="00437D36" w:rsidP="00437D36">
      <w:pPr>
        <w:rPr>
          <w:szCs w:val="20"/>
          <w:u w:val="single"/>
        </w:rPr>
      </w:pPr>
      <w:r w:rsidRPr="00B163FC">
        <w:rPr>
          <w:szCs w:val="20"/>
        </w:rPr>
        <w:t>Kommunerne er samlet set landets største bygningsejer med ansvar for ca. 31 mio. kvadratmeter bygningsmasse</w:t>
      </w:r>
      <w:r w:rsidRPr="00B163FC">
        <w:rPr>
          <w:rStyle w:val="Fodnotehenvisning"/>
          <w:szCs w:val="20"/>
        </w:rPr>
        <w:footnoteReference w:id="1"/>
      </w:r>
      <w:r w:rsidRPr="00B163FC">
        <w:rPr>
          <w:szCs w:val="20"/>
        </w:rPr>
        <w:t xml:space="preserve">. Energieffektiv drift af den offentlige bygningsmasse herunder </w:t>
      </w:r>
      <w:r w:rsidR="00CC1415">
        <w:rPr>
          <w:szCs w:val="20"/>
        </w:rPr>
        <w:t xml:space="preserve">gennemførelse af rentable energiforbedringer og </w:t>
      </w:r>
      <w:r w:rsidRPr="00B163FC">
        <w:rPr>
          <w:szCs w:val="20"/>
        </w:rPr>
        <w:t>udfasning af olie- og gasfyr kan både reducere CO</w:t>
      </w:r>
      <w:r w:rsidRPr="00B163FC">
        <w:rPr>
          <w:szCs w:val="20"/>
          <w:vertAlign w:val="subscript"/>
        </w:rPr>
        <w:t>2</w:t>
      </w:r>
      <w:r w:rsidRPr="00B163FC">
        <w:rPr>
          <w:szCs w:val="20"/>
        </w:rPr>
        <w:t>-udledninger</w:t>
      </w:r>
      <w:r w:rsidR="00CC1415">
        <w:rPr>
          <w:szCs w:val="20"/>
        </w:rPr>
        <w:t xml:space="preserve"> og</w:t>
      </w:r>
      <w:r w:rsidRPr="00B163FC">
        <w:rPr>
          <w:szCs w:val="20"/>
        </w:rPr>
        <w:t xml:space="preserve"> </w:t>
      </w:r>
      <w:r w:rsidR="00CC1415">
        <w:rPr>
          <w:szCs w:val="20"/>
        </w:rPr>
        <w:t xml:space="preserve">energiudgifter for </w:t>
      </w:r>
      <w:r w:rsidRPr="00B163FC">
        <w:rPr>
          <w:szCs w:val="20"/>
        </w:rPr>
        <w:t>kommuner og regioner</w:t>
      </w:r>
      <w:r w:rsidR="00CC1415">
        <w:rPr>
          <w:szCs w:val="20"/>
        </w:rPr>
        <w:t>. Det kan endvidere</w:t>
      </w:r>
      <w:r w:rsidRPr="00B163FC">
        <w:rPr>
          <w:szCs w:val="20"/>
        </w:rPr>
        <w:t xml:space="preserve"> bidrage med andre</w:t>
      </w:r>
      <w:r w:rsidR="002F50D5">
        <w:rPr>
          <w:szCs w:val="20"/>
        </w:rPr>
        <w:t xml:space="preserve"> afledte</w:t>
      </w:r>
      <w:r w:rsidRPr="00B163FC">
        <w:rPr>
          <w:szCs w:val="20"/>
        </w:rPr>
        <w:t xml:space="preserve"> fordele som eksempelvis et bedre indeklima.  </w:t>
      </w:r>
    </w:p>
    <w:p w14:paraId="1E341885" w14:textId="77777777" w:rsidR="00437D36" w:rsidRPr="00B163FC" w:rsidRDefault="00437D36" w:rsidP="00437D36">
      <w:pPr>
        <w:rPr>
          <w:szCs w:val="20"/>
        </w:rPr>
      </w:pPr>
    </w:p>
    <w:p w14:paraId="4F9D779D" w14:textId="22D1622F" w:rsidR="00437D36" w:rsidRDefault="00437D36" w:rsidP="00437D36">
      <w:pPr>
        <w:rPr>
          <w:szCs w:val="20"/>
        </w:rPr>
      </w:pPr>
      <w:r w:rsidRPr="00B163FC">
        <w:rPr>
          <w:szCs w:val="20"/>
        </w:rPr>
        <w:t xml:space="preserve">Beslutningen om at iværksætte en kortlægning af olie- og gasfyr er et led i den samlede indsats for udfasning af olie og naturgas fra varmesystemet og dermed udmøntningen af regeringens reduktionsmål på 70 pct. i 2030. </w:t>
      </w:r>
      <w:r w:rsidR="002F50D5">
        <w:rPr>
          <w:szCs w:val="20"/>
        </w:rPr>
        <w:t>Foruden potentialet ved udfasningen af olie- gasfyr forventes der at være et CO</w:t>
      </w:r>
      <w:r w:rsidR="002F50D5">
        <w:rPr>
          <w:szCs w:val="20"/>
          <w:vertAlign w:val="subscript"/>
        </w:rPr>
        <w:t>2</w:t>
      </w:r>
      <w:r w:rsidR="002F50D5">
        <w:rPr>
          <w:szCs w:val="20"/>
        </w:rPr>
        <w:t>-fortrængningspotentiale i den kommunale og regionale bygningsmasse. Derfor ønsker Energistyrelsen, at der i tillæg til kortlægningen af olie- og gasfyr udføres en teknisk vurdering af potentialet for rentable energiforbedringer og CO</w:t>
      </w:r>
      <w:r w:rsidR="002F50D5">
        <w:rPr>
          <w:szCs w:val="20"/>
          <w:vertAlign w:val="subscript"/>
        </w:rPr>
        <w:t>2-</w:t>
      </w:r>
      <w:r w:rsidR="002F50D5">
        <w:rPr>
          <w:szCs w:val="20"/>
        </w:rPr>
        <w:t xml:space="preserve">fortrængningspotentialet ved gennemførelse heraf. </w:t>
      </w:r>
    </w:p>
    <w:p w14:paraId="55B078D8" w14:textId="42EB392A" w:rsidR="002F50D5" w:rsidRDefault="002F50D5" w:rsidP="00437D36">
      <w:pPr>
        <w:rPr>
          <w:szCs w:val="20"/>
        </w:rPr>
      </w:pPr>
    </w:p>
    <w:p w14:paraId="54FCD321" w14:textId="4A67D73E" w:rsidR="002F50D5" w:rsidRDefault="002F50D5" w:rsidP="00437D36">
      <w:pPr>
        <w:rPr>
          <w:szCs w:val="20"/>
        </w:rPr>
      </w:pPr>
      <w:r w:rsidRPr="00B163FC">
        <w:rPr>
          <w:szCs w:val="20"/>
        </w:rPr>
        <w:t xml:space="preserve">Kortlægningen har derudover en kobling til tilskudspulje til energiforbedringer i offentlige bygninger (kommuner og regioner) afsat med finansloven for 2021, da analysen vil være et godt udgangspunkt for, at kommuner og regioner </w:t>
      </w:r>
      <w:r>
        <w:rPr>
          <w:szCs w:val="20"/>
        </w:rPr>
        <w:t xml:space="preserve">eksempelvis </w:t>
      </w:r>
      <w:r w:rsidRPr="00B163FC">
        <w:rPr>
          <w:szCs w:val="20"/>
        </w:rPr>
        <w:t>kan bruge puljen til udfasning af olie- og gasfyr, og dermed øge CO</w:t>
      </w:r>
      <w:r w:rsidRPr="00B163FC">
        <w:rPr>
          <w:szCs w:val="20"/>
          <w:vertAlign w:val="subscript"/>
        </w:rPr>
        <w:t>2</w:t>
      </w:r>
      <w:r w:rsidRPr="00B163FC">
        <w:rPr>
          <w:szCs w:val="20"/>
        </w:rPr>
        <w:t xml:space="preserve">-reduktionspotentialet i puljen. </w:t>
      </w:r>
    </w:p>
    <w:p w14:paraId="790A6992" w14:textId="5E2C5ABD" w:rsidR="002F50D5" w:rsidRDefault="002F50D5" w:rsidP="00437D36">
      <w:pPr>
        <w:rPr>
          <w:szCs w:val="20"/>
        </w:rPr>
      </w:pPr>
    </w:p>
    <w:p w14:paraId="53E7AB33" w14:textId="74388A98" w:rsidR="00C21BC5" w:rsidRPr="00B163FC" w:rsidRDefault="00437D36" w:rsidP="00437D36">
      <w:pPr>
        <w:rPr>
          <w:szCs w:val="20"/>
        </w:rPr>
      </w:pPr>
      <w:r w:rsidRPr="00B163FC">
        <w:rPr>
          <w:szCs w:val="20"/>
        </w:rPr>
        <w:t xml:space="preserve">Der foreligger på nuværende tidspunkt data om kommunale og regionale bygningers forsyning, </w:t>
      </w:r>
      <w:r w:rsidR="002F50D5">
        <w:rPr>
          <w:szCs w:val="20"/>
        </w:rPr>
        <w:t xml:space="preserve">isolering, </w:t>
      </w:r>
      <w:r w:rsidRPr="00B163FC">
        <w:rPr>
          <w:szCs w:val="20"/>
        </w:rPr>
        <w:t xml:space="preserve">anvendelseskode m.v., der kan tilgås ved brug af henholdsvis BBR-registret og Energimærkningsordningen. Dette data vil være relevant at anvende i </w:t>
      </w:r>
      <w:r w:rsidRPr="004C3214">
        <w:rPr>
          <w:szCs w:val="20"/>
        </w:rPr>
        <w:t xml:space="preserve">forbindelse med </w:t>
      </w:r>
      <w:r w:rsidR="002F50D5" w:rsidRPr="004C3214">
        <w:rPr>
          <w:szCs w:val="20"/>
        </w:rPr>
        <w:t xml:space="preserve">både </w:t>
      </w:r>
      <w:r w:rsidRPr="004C3214">
        <w:rPr>
          <w:szCs w:val="20"/>
        </w:rPr>
        <w:t>kortlægningen af kommunale og regionale bygningers olie- og</w:t>
      </w:r>
      <w:r w:rsidR="002F50D5" w:rsidRPr="004C3214">
        <w:rPr>
          <w:szCs w:val="20"/>
        </w:rPr>
        <w:t xml:space="preserve"> gasfyr samt potentialevurderingen,</w:t>
      </w:r>
      <w:r w:rsidRPr="004C3214">
        <w:rPr>
          <w:szCs w:val="20"/>
        </w:rPr>
        <w:t xml:space="preserve"> men bør ikke</w:t>
      </w:r>
      <w:r w:rsidR="00280F86" w:rsidRPr="004C3214">
        <w:rPr>
          <w:szCs w:val="20"/>
        </w:rPr>
        <w:t xml:space="preserve"> stå alene, da </w:t>
      </w:r>
      <w:r w:rsidR="002F50D5" w:rsidRPr="004C3214">
        <w:rPr>
          <w:szCs w:val="20"/>
        </w:rPr>
        <w:t>opgaven endvidere skal indeholde teknisk barriereanalyse for udfasning af olie- og gasfyr samt gennemførelse af rentable energiforbedringer.</w:t>
      </w:r>
      <w:r w:rsidR="002F50D5">
        <w:rPr>
          <w:szCs w:val="20"/>
        </w:rPr>
        <w:t xml:space="preserve"> </w:t>
      </w:r>
    </w:p>
    <w:p w14:paraId="0FE25A6B" w14:textId="6D036333" w:rsidR="00437D36" w:rsidRPr="00B163FC" w:rsidRDefault="00437D36" w:rsidP="00437D36">
      <w:pPr>
        <w:rPr>
          <w:szCs w:val="20"/>
        </w:rPr>
      </w:pPr>
    </w:p>
    <w:p w14:paraId="741018D4" w14:textId="77777777" w:rsidR="00437D36" w:rsidRPr="00B163FC" w:rsidRDefault="00437D36" w:rsidP="00437D36">
      <w:pPr>
        <w:rPr>
          <w:szCs w:val="20"/>
        </w:rPr>
      </w:pPr>
    </w:p>
    <w:p w14:paraId="33D6DAA0" w14:textId="6A1FFD2A" w:rsidR="00FF2616" w:rsidRPr="00FF2616" w:rsidRDefault="00437D36" w:rsidP="00437D36">
      <w:pPr>
        <w:pStyle w:val="Overskrift2"/>
        <w:keepLines w:val="0"/>
        <w:numPr>
          <w:ilvl w:val="1"/>
          <w:numId w:val="1"/>
        </w:numPr>
        <w:overflowPunct w:val="0"/>
        <w:autoSpaceDE w:val="0"/>
        <w:autoSpaceDN w:val="0"/>
        <w:adjustRightInd w:val="0"/>
        <w:spacing w:before="0" w:line="240" w:lineRule="auto"/>
        <w:jc w:val="both"/>
        <w:textAlignment w:val="baseline"/>
        <w:rPr>
          <w:sz w:val="20"/>
          <w:szCs w:val="20"/>
        </w:rPr>
      </w:pPr>
      <w:r w:rsidRPr="00B163FC">
        <w:rPr>
          <w:sz w:val="20"/>
          <w:szCs w:val="20"/>
        </w:rPr>
        <w:t>Opgavens indhold</w:t>
      </w:r>
    </w:p>
    <w:p w14:paraId="06A3A144" w14:textId="4D20CA86" w:rsidR="00966560" w:rsidRDefault="00FF2616" w:rsidP="00437D36">
      <w:pPr>
        <w:rPr>
          <w:szCs w:val="20"/>
        </w:rPr>
      </w:pPr>
      <w:r>
        <w:rPr>
          <w:szCs w:val="20"/>
        </w:rPr>
        <w:t xml:space="preserve">Hovedopgaven består i at kortlægge varmeforsyningen herunder olie- og gasfyr i samtlige kommunale og regionale og bygninger. I tillæg til kortlægningen skal der foretages en vurdering af </w:t>
      </w:r>
      <w:r w:rsidR="005D75A4">
        <w:rPr>
          <w:szCs w:val="20"/>
        </w:rPr>
        <w:t xml:space="preserve">den nuværende energirenoveringsrate samt </w:t>
      </w:r>
      <w:r>
        <w:rPr>
          <w:szCs w:val="20"/>
        </w:rPr>
        <w:t xml:space="preserve">det skønsmæssige potentiale for rentable energiforbedringer i den kommunale og regionale bygningsmasse. </w:t>
      </w:r>
    </w:p>
    <w:p w14:paraId="30F90799" w14:textId="6DF1617E" w:rsidR="00FF2616" w:rsidRDefault="00FF2616" w:rsidP="00437D36">
      <w:pPr>
        <w:rPr>
          <w:szCs w:val="20"/>
        </w:rPr>
      </w:pPr>
    </w:p>
    <w:p w14:paraId="60362232" w14:textId="0ADEB331" w:rsidR="00FF2616" w:rsidRDefault="00FF2616" w:rsidP="00437D36">
      <w:pPr>
        <w:rPr>
          <w:szCs w:val="20"/>
          <w:u w:val="single"/>
        </w:rPr>
      </w:pPr>
      <w:r>
        <w:rPr>
          <w:szCs w:val="20"/>
          <w:u w:val="single"/>
        </w:rPr>
        <w:t>Delanalyser</w:t>
      </w:r>
      <w:r w:rsidR="00723333">
        <w:rPr>
          <w:szCs w:val="20"/>
          <w:u w:val="single"/>
        </w:rPr>
        <w:br/>
      </w:r>
    </w:p>
    <w:p w14:paraId="13EAD4E3" w14:textId="22483F1C" w:rsidR="00FF2616" w:rsidRPr="00FF2616" w:rsidRDefault="00FF2616" w:rsidP="00FF2616">
      <w:pPr>
        <w:pStyle w:val="Listeafsnit"/>
        <w:numPr>
          <w:ilvl w:val="0"/>
          <w:numId w:val="8"/>
        </w:numPr>
        <w:rPr>
          <w:szCs w:val="20"/>
        </w:rPr>
      </w:pPr>
      <w:r>
        <w:rPr>
          <w:szCs w:val="20"/>
        </w:rPr>
        <w:t xml:space="preserve">Kortlægning af olie- og gasfyr </w:t>
      </w:r>
    </w:p>
    <w:p w14:paraId="02E5699D" w14:textId="592B209D" w:rsidR="00966560" w:rsidRDefault="00966560" w:rsidP="00437D36">
      <w:pPr>
        <w:rPr>
          <w:szCs w:val="20"/>
        </w:rPr>
      </w:pPr>
    </w:p>
    <w:p w14:paraId="4483855E" w14:textId="063513E4" w:rsidR="004957C1" w:rsidRDefault="004957C1" w:rsidP="004957C1">
      <w:pPr>
        <w:rPr>
          <w:szCs w:val="20"/>
        </w:rPr>
      </w:pPr>
      <w:r w:rsidRPr="00B163FC">
        <w:rPr>
          <w:szCs w:val="20"/>
        </w:rPr>
        <w:t>Kortlægningen skal</w:t>
      </w:r>
      <w:r>
        <w:rPr>
          <w:szCs w:val="20"/>
        </w:rPr>
        <w:t xml:space="preserve"> bl.a.</w:t>
      </w:r>
      <w:r w:rsidRPr="00B163FC">
        <w:rPr>
          <w:szCs w:val="20"/>
        </w:rPr>
        <w:t xml:space="preserve"> bidrage til at kvalificere beslutningsgrundlaget for en eventuel udfasning af olie- og gasfyr i kommunale og regionale bygninger. Det vil sige, at kortlægningen skal</w:t>
      </w:r>
      <w:r w:rsidR="00723333">
        <w:rPr>
          <w:szCs w:val="20"/>
        </w:rPr>
        <w:t xml:space="preserve"> indeholde en teknisk analyse</w:t>
      </w:r>
      <w:r w:rsidRPr="00B163FC">
        <w:rPr>
          <w:szCs w:val="20"/>
        </w:rPr>
        <w:t xml:space="preserve"> hvori det undersøges, hvorvidt en udfasning af olie- og gasfyr i kommunale og regionale bygninger kan lade sig gøre, hvad en sådan udfasning vil koste, og hvorvidt der i nogle bygninger vil være et behov for særlige undtagelser eller dispensation fra eventuelle krav/målsætninger om udfasning. </w:t>
      </w:r>
    </w:p>
    <w:p w14:paraId="2F9359C1" w14:textId="483BADDA" w:rsidR="004957C1" w:rsidRDefault="004957C1" w:rsidP="004957C1">
      <w:pPr>
        <w:rPr>
          <w:szCs w:val="20"/>
        </w:rPr>
      </w:pPr>
    </w:p>
    <w:p w14:paraId="3489520C" w14:textId="70F9FE4F" w:rsidR="004957C1" w:rsidRDefault="004957C1" w:rsidP="004957C1">
      <w:pPr>
        <w:rPr>
          <w:szCs w:val="20"/>
        </w:rPr>
      </w:pPr>
      <w:r w:rsidRPr="00B163FC">
        <w:rPr>
          <w:szCs w:val="20"/>
        </w:rPr>
        <w:t>Det forventes, at det som et led i kortlægningen undersøges hvilke kommunale og regionale bygninger, der opvarmes ved brug af hhv. olie- og gasfyr, hvilken bygningstype der er tale om, bygningens areal, bygningens energimærke og bygningens anvendelsesformål.</w:t>
      </w:r>
    </w:p>
    <w:p w14:paraId="419E06DF" w14:textId="6E26AA6F" w:rsidR="004957C1" w:rsidRDefault="004957C1" w:rsidP="004957C1">
      <w:pPr>
        <w:rPr>
          <w:szCs w:val="20"/>
        </w:rPr>
      </w:pPr>
    </w:p>
    <w:p w14:paraId="5C655C6F" w14:textId="24D1596F" w:rsidR="004957C1" w:rsidRDefault="00723333" w:rsidP="004957C1">
      <w:pPr>
        <w:rPr>
          <w:szCs w:val="20"/>
        </w:rPr>
      </w:pPr>
      <w:r w:rsidRPr="00B163FC">
        <w:rPr>
          <w:szCs w:val="20"/>
        </w:rPr>
        <w:t>Som et led i kortlægningen skal mulighederne for varmeomlægning undersøges. Det vil sige, at eksempelvis adgangen til fjernvarme</w:t>
      </w:r>
      <w:r>
        <w:rPr>
          <w:szCs w:val="20"/>
        </w:rPr>
        <w:t>,</w:t>
      </w:r>
      <w:r w:rsidRPr="00B163FC">
        <w:rPr>
          <w:szCs w:val="20"/>
        </w:rPr>
        <w:t xml:space="preserve"> herunder om der planlægges fjernvarme i en nær fremtid</w:t>
      </w:r>
      <w:r>
        <w:rPr>
          <w:szCs w:val="20"/>
        </w:rPr>
        <w:t>,</w:t>
      </w:r>
      <w:r w:rsidRPr="00B163FC">
        <w:rPr>
          <w:szCs w:val="20"/>
        </w:rPr>
        <w:t xml:space="preserve"> skal afdækkes.  </w:t>
      </w:r>
    </w:p>
    <w:p w14:paraId="0E60BE0F" w14:textId="1D01641C" w:rsidR="00723333" w:rsidRDefault="00723333" w:rsidP="004957C1">
      <w:pPr>
        <w:rPr>
          <w:szCs w:val="20"/>
        </w:rPr>
      </w:pPr>
    </w:p>
    <w:p w14:paraId="51B21510" w14:textId="77777777" w:rsidR="00723333" w:rsidRPr="00B163FC" w:rsidRDefault="00723333" w:rsidP="00723333">
      <w:pPr>
        <w:rPr>
          <w:szCs w:val="20"/>
        </w:rPr>
      </w:pPr>
      <w:r w:rsidRPr="00B163FC">
        <w:rPr>
          <w:szCs w:val="20"/>
        </w:rPr>
        <w:t xml:space="preserve">Det vil endvidere være relevant at få estimeret de økonomiske konsekvenser ved udskiftning af alle de olie- og gasfyr i kommunale og regionale bygninger ud fra en betragtning om levetid, herunder i tilfælde af scenarier, hvor der er tale om en forceret udskiftning. </w:t>
      </w:r>
    </w:p>
    <w:p w14:paraId="72FDBC5B" w14:textId="024B8121" w:rsidR="00FF2616" w:rsidRDefault="00FF2616" w:rsidP="00437D36">
      <w:pPr>
        <w:rPr>
          <w:szCs w:val="20"/>
        </w:rPr>
      </w:pPr>
    </w:p>
    <w:p w14:paraId="00BE1FE2" w14:textId="6E4DD419" w:rsidR="00FF2616" w:rsidRPr="00FF2616" w:rsidRDefault="005D75A4" w:rsidP="00FF2616">
      <w:pPr>
        <w:pStyle w:val="Listeafsnit"/>
        <w:numPr>
          <w:ilvl w:val="0"/>
          <w:numId w:val="8"/>
        </w:numPr>
        <w:rPr>
          <w:szCs w:val="20"/>
        </w:rPr>
      </w:pPr>
      <w:r>
        <w:rPr>
          <w:szCs w:val="20"/>
        </w:rPr>
        <w:t>Vurdering energirenoveringsrate samt</w:t>
      </w:r>
      <w:r w:rsidR="00FF2616">
        <w:rPr>
          <w:szCs w:val="20"/>
        </w:rPr>
        <w:t xml:space="preserve"> potentialet for rentable energiforbedringer </w:t>
      </w:r>
    </w:p>
    <w:p w14:paraId="18008F02" w14:textId="1BEB4D63" w:rsidR="00373B48" w:rsidRDefault="00373B48" w:rsidP="00437D36">
      <w:pPr>
        <w:rPr>
          <w:szCs w:val="20"/>
        </w:rPr>
      </w:pPr>
    </w:p>
    <w:p w14:paraId="626E2296" w14:textId="3EF5E95D" w:rsidR="005D75A4" w:rsidRDefault="00723333" w:rsidP="00437D36">
      <w:pPr>
        <w:rPr>
          <w:szCs w:val="20"/>
        </w:rPr>
      </w:pPr>
      <w:r>
        <w:rPr>
          <w:szCs w:val="20"/>
        </w:rPr>
        <w:t xml:space="preserve">I tillæg til kortlægningen skal det skønsmæssige potentiale for rentable energiforbedringer samt den nuværende energirenoveringsrate i den kommunale og regionale bygningsmasse vurderes. </w:t>
      </w:r>
    </w:p>
    <w:p w14:paraId="7B0666FA" w14:textId="2FA0937D" w:rsidR="005D75A4" w:rsidRDefault="005D75A4" w:rsidP="00437D36">
      <w:pPr>
        <w:rPr>
          <w:szCs w:val="20"/>
        </w:rPr>
      </w:pPr>
    </w:p>
    <w:p w14:paraId="3E46F6C8" w14:textId="782B7D85" w:rsidR="005D75A4" w:rsidRDefault="005D75A4" w:rsidP="00437D36">
      <w:pPr>
        <w:rPr>
          <w:szCs w:val="20"/>
        </w:rPr>
      </w:pPr>
      <w:r>
        <w:rPr>
          <w:szCs w:val="20"/>
        </w:rPr>
        <w:t xml:space="preserve">Vurderingen af den nuværende energirenoveringsrate kan have betydning for vurderingen af potentialet for rentable energiforbedringer, der bl.a. skal give indblik </w:t>
      </w:r>
      <w:r>
        <w:rPr>
          <w:szCs w:val="20"/>
        </w:rPr>
        <w:lastRenderedPageBreak/>
        <w:t xml:space="preserve">i det rentable energiforbedringspotentiale på tværs af energiposter i kommunale og regionale bygninger. </w:t>
      </w:r>
    </w:p>
    <w:p w14:paraId="377B3CC5" w14:textId="05411930" w:rsidR="005D75A4" w:rsidRDefault="005D75A4" w:rsidP="00437D36">
      <w:pPr>
        <w:rPr>
          <w:szCs w:val="20"/>
        </w:rPr>
      </w:pPr>
    </w:p>
    <w:p w14:paraId="3D963BE9" w14:textId="2334466C" w:rsidR="00723333" w:rsidRDefault="00723333" w:rsidP="00437D36">
      <w:pPr>
        <w:rPr>
          <w:szCs w:val="20"/>
        </w:rPr>
      </w:pPr>
      <w:r>
        <w:rPr>
          <w:szCs w:val="20"/>
        </w:rPr>
        <w:t xml:space="preserve">Til brug for vurdering af den nuværende energirenoveringsrate samt det skønsmæssige potentiale for rentable energiforbedringer forventes det, at der foretages et litteraturstudie. Litteraturstudiet skal identificere eksisterende data og metoder for beregning af potentialer i bygningstyper, der dækker bygningstyper i den kommunale og regionale bygningsmase. </w:t>
      </w:r>
    </w:p>
    <w:p w14:paraId="277E73EE" w14:textId="19EE5FDB" w:rsidR="005D75A4" w:rsidRDefault="005D75A4" w:rsidP="00437D36">
      <w:pPr>
        <w:rPr>
          <w:szCs w:val="20"/>
        </w:rPr>
      </w:pPr>
    </w:p>
    <w:p w14:paraId="152BF745" w14:textId="6F610E7B" w:rsidR="00A137D1" w:rsidRDefault="005D75A4" w:rsidP="00437D36">
      <w:pPr>
        <w:rPr>
          <w:szCs w:val="20"/>
        </w:rPr>
      </w:pPr>
      <w:r>
        <w:rPr>
          <w:szCs w:val="20"/>
        </w:rPr>
        <w:t xml:space="preserve">Det forventes endvidere, at der indhentes data om bl.a. klimaskærm, ventilation og belysning til brug for vurderingen af det rentable energiforbedringspotentiale i kommunale og regionale bygninger. </w:t>
      </w:r>
      <w:r w:rsidR="00A137D1">
        <w:rPr>
          <w:szCs w:val="20"/>
        </w:rPr>
        <w:t>Hertil vil det være relevant at indhente data om klimaskærm, ventilation m.v., som går udover eksisterende energimærkningsdata med henblik på at undersøge, om kommuner og regioner har renoveret bygningsmassen uden at opdatere energimærket</w:t>
      </w:r>
      <w:r w:rsidR="001D59EC">
        <w:rPr>
          <w:szCs w:val="20"/>
        </w:rPr>
        <w:t>, da det har en betydning for energiforbedringspotentialet</w:t>
      </w:r>
      <w:r w:rsidR="00A137D1">
        <w:rPr>
          <w:szCs w:val="20"/>
        </w:rPr>
        <w:t xml:space="preserve">. </w:t>
      </w:r>
    </w:p>
    <w:p w14:paraId="62FE8219" w14:textId="19A46278" w:rsidR="00FF2616" w:rsidRDefault="00FF2616" w:rsidP="00FF2616">
      <w:pPr>
        <w:rPr>
          <w:szCs w:val="20"/>
        </w:rPr>
      </w:pPr>
    </w:p>
    <w:p w14:paraId="037DB0AB" w14:textId="40346FED" w:rsidR="00FF2616" w:rsidRPr="00FF2616" w:rsidRDefault="00FF2616" w:rsidP="00FF2616">
      <w:pPr>
        <w:pStyle w:val="Listeafsnit"/>
        <w:numPr>
          <w:ilvl w:val="0"/>
          <w:numId w:val="8"/>
        </w:numPr>
        <w:rPr>
          <w:szCs w:val="20"/>
        </w:rPr>
      </w:pPr>
      <w:r>
        <w:rPr>
          <w:szCs w:val="20"/>
        </w:rPr>
        <w:t xml:space="preserve">Analyse af evt. barrierer for udfasning af olie- og gasfyr samt gennemførelse af rentable energiforbedringer </w:t>
      </w:r>
    </w:p>
    <w:p w14:paraId="4E2BE2BC" w14:textId="674C1773" w:rsidR="00614BF7" w:rsidRDefault="00614BF7" w:rsidP="00437D36">
      <w:pPr>
        <w:rPr>
          <w:szCs w:val="20"/>
        </w:rPr>
      </w:pPr>
    </w:p>
    <w:p w14:paraId="6D2C7F26" w14:textId="0D04BC5C" w:rsidR="004E7E8A" w:rsidRPr="00B163FC" w:rsidRDefault="004E7E8A" w:rsidP="00437D36">
      <w:pPr>
        <w:rPr>
          <w:szCs w:val="20"/>
        </w:rPr>
      </w:pPr>
      <w:r>
        <w:rPr>
          <w:szCs w:val="20"/>
        </w:rPr>
        <w:t>Den tredje og sidste delanalyse er en teknisk barriereanalyse, hvori eventuelle barriere</w:t>
      </w:r>
      <w:r w:rsidR="00B53980">
        <w:rPr>
          <w:szCs w:val="20"/>
        </w:rPr>
        <w:t>r</w:t>
      </w:r>
      <w:r>
        <w:rPr>
          <w:szCs w:val="20"/>
        </w:rPr>
        <w:t xml:space="preserve"> for udfasning af olie- og gasfyr såvel gennemførelse af rentable energiforbedringer i kommunale og regionale bygninger</w:t>
      </w:r>
      <w:r w:rsidR="00B53980">
        <w:rPr>
          <w:szCs w:val="20"/>
        </w:rPr>
        <w:t xml:space="preserve"> skal belyses</w:t>
      </w:r>
      <w:r>
        <w:rPr>
          <w:szCs w:val="20"/>
        </w:rPr>
        <w:t xml:space="preserve">. </w:t>
      </w:r>
    </w:p>
    <w:p w14:paraId="0E02ED87" w14:textId="77777777" w:rsidR="00437D36" w:rsidRPr="00B163FC" w:rsidRDefault="00437D36" w:rsidP="00437D36">
      <w:pPr>
        <w:rPr>
          <w:szCs w:val="20"/>
        </w:rPr>
      </w:pPr>
    </w:p>
    <w:p w14:paraId="1FD6D870" w14:textId="0AA3770F" w:rsidR="00437D36" w:rsidRDefault="004E7E8A" w:rsidP="00437D36">
      <w:pPr>
        <w:rPr>
          <w:szCs w:val="20"/>
        </w:rPr>
      </w:pPr>
      <w:r>
        <w:rPr>
          <w:szCs w:val="20"/>
        </w:rPr>
        <w:t>I forbindelse med udarbejdelsen af kortlægning vil det</w:t>
      </w:r>
      <w:r w:rsidR="00437D36" w:rsidRPr="00B163FC">
        <w:rPr>
          <w:szCs w:val="20"/>
        </w:rPr>
        <w:t xml:space="preserve"> være relevant at belyse eventuelle barrierer for udfasning af olie- og gasfyr i kommunale og regionale</w:t>
      </w:r>
      <w:r>
        <w:rPr>
          <w:szCs w:val="20"/>
        </w:rPr>
        <w:t xml:space="preserve"> bygninger. Her skal det</w:t>
      </w:r>
      <w:r w:rsidR="00437D36" w:rsidRPr="00B163FC">
        <w:rPr>
          <w:szCs w:val="20"/>
        </w:rPr>
        <w:t xml:space="preserve"> undersøges hvilke forhold som eksempelvis økonomi, regulering, manglende alternativer/teknologi eller andre forhold der gør, at kommuner og regioner eventuelt fravælger at udfase olie- og gasfyr. Hertil undersøges det, hvad kommuner og regioner kan gøre for at fremme udfasningen herunder eventuel indførelse af kommunale og regionale energi- og klimahandlingsplaner, energiledelse m.v.</w:t>
      </w:r>
    </w:p>
    <w:p w14:paraId="3C1B2DDA" w14:textId="3E7F3A21" w:rsidR="004E7E8A" w:rsidRDefault="004E7E8A" w:rsidP="00437D36">
      <w:pPr>
        <w:rPr>
          <w:szCs w:val="20"/>
        </w:rPr>
      </w:pPr>
    </w:p>
    <w:p w14:paraId="31E5C900" w14:textId="3BD1EDEF" w:rsidR="004E7E8A" w:rsidRDefault="004E7E8A" w:rsidP="00437D36">
      <w:pPr>
        <w:rPr>
          <w:szCs w:val="20"/>
        </w:rPr>
      </w:pPr>
      <w:r>
        <w:rPr>
          <w:szCs w:val="20"/>
        </w:rPr>
        <w:t xml:space="preserve">I forbindelse </w:t>
      </w:r>
      <w:r w:rsidR="004C3214">
        <w:rPr>
          <w:szCs w:val="20"/>
        </w:rPr>
        <w:t xml:space="preserve">med </w:t>
      </w:r>
      <w:r>
        <w:rPr>
          <w:szCs w:val="20"/>
        </w:rPr>
        <w:t>vurderingen af den nuværende energirenoveringsrate samt potentialet for rentable energiforbedringer vil det være relevant at belyse eventuelle barrierer for en øget energirenoveringsrate. Her skal det undersøges</w:t>
      </w:r>
      <w:r w:rsidR="004C3214">
        <w:rPr>
          <w:szCs w:val="20"/>
        </w:rPr>
        <w:t>,</w:t>
      </w:r>
      <w:r>
        <w:rPr>
          <w:szCs w:val="20"/>
        </w:rPr>
        <w:t xml:space="preserve"> hvilke forhold som eksempelvis økonomi, regulering, teknologi eller andre forhold der gør, at kommuner og regioner eventuelt fravælger at gennemføre rentable energiforbedringer. Hertil skal det undersøges, hvad kommuner og regioner kan gøre for at fremme gennemførelse af energirenoveringer.  </w:t>
      </w:r>
    </w:p>
    <w:p w14:paraId="2A0A301A" w14:textId="77777777" w:rsidR="00571BBE" w:rsidRPr="00B163FC" w:rsidRDefault="00571BBE" w:rsidP="00437D36">
      <w:pPr>
        <w:rPr>
          <w:szCs w:val="20"/>
        </w:rPr>
      </w:pPr>
    </w:p>
    <w:p w14:paraId="1039FEBB" w14:textId="0BB95EFB" w:rsidR="00437D36" w:rsidRPr="00B163FC" w:rsidRDefault="00437D36" w:rsidP="00437D36">
      <w:pPr>
        <w:rPr>
          <w:szCs w:val="20"/>
        </w:rPr>
      </w:pPr>
      <w:r w:rsidRPr="00B163FC">
        <w:rPr>
          <w:szCs w:val="20"/>
        </w:rPr>
        <w:t>Analysen skal udover selv</w:t>
      </w:r>
      <w:r w:rsidR="00614BF7" w:rsidRPr="00B163FC">
        <w:rPr>
          <w:szCs w:val="20"/>
        </w:rPr>
        <w:t>e kortlægningen</w:t>
      </w:r>
      <w:r w:rsidRPr="00B163FC">
        <w:rPr>
          <w:szCs w:val="20"/>
        </w:rPr>
        <w:t xml:space="preserve"> samt beskrivelse af barriere</w:t>
      </w:r>
      <w:r w:rsidR="001E4809">
        <w:rPr>
          <w:szCs w:val="20"/>
        </w:rPr>
        <w:t>r</w:t>
      </w:r>
      <w:r w:rsidRPr="00B163FC">
        <w:rPr>
          <w:szCs w:val="20"/>
        </w:rPr>
        <w:t xml:space="preserve"> og konsekvenser resultere i anbefalinger til, hvorledes kommuner, regioner, virksomheder samt beslutningstagere kan fremme udskiftningen af olie- og gasfyr</w:t>
      </w:r>
      <w:r w:rsidR="001D59EC">
        <w:rPr>
          <w:szCs w:val="20"/>
        </w:rPr>
        <w:t xml:space="preserve"> </w:t>
      </w:r>
      <w:r w:rsidR="001D59EC">
        <w:rPr>
          <w:szCs w:val="20"/>
        </w:rPr>
        <w:lastRenderedPageBreak/>
        <w:t>samt gennemførelse af rentable energiforbedringer</w:t>
      </w:r>
      <w:r w:rsidRPr="00B163FC">
        <w:rPr>
          <w:szCs w:val="20"/>
        </w:rPr>
        <w:t xml:space="preserve"> i kommunale og regionale bygninger og</w:t>
      </w:r>
      <w:r w:rsidR="001D59EC">
        <w:rPr>
          <w:szCs w:val="20"/>
        </w:rPr>
        <w:t xml:space="preserve"> dermed</w:t>
      </w:r>
      <w:r w:rsidRPr="00B163FC">
        <w:rPr>
          <w:szCs w:val="20"/>
        </w:rPr>
        <w:t xml:space="preserve"> håndtere de identificerede barrierer ift. økonomi, regulering, adfærd, manglende alternativer/teknologi eller andre forhold.</w:t>
      </w:r>
      <w:r w:rsidR="001D59EC">
        <w:rPr>
          <w:szCs w:val="20"/>
        </w:rPr>
        <w:t xml:space="preserve">  </w:t>
      </w:r>
    </w:p>
    <w:p w14:paraId="1BEE0EB2" w14:textId="77777777" w:rsidR="00437D36" w:rsidRPr="00B163FC" w:rsidRDefault="00437D36" w:rsidP="00437D36">
      <w:pPr>
        <w:rPr>
          <w:szCs w:val="20"/>
        </w:rPr>
      </w:pPr>
    </w:p>
    <w:p w14:paraId="75B5FD02" w14:textId="2BAB667C" w:rsidR="00437D36" w:rsidRDefault="004E7E8A" w:rsidP="00437D36">
      <w:pPr>
        <w:rPr>
          <w:szCs w:val="20"/>
        </w:rPr>
      </w:pPr>
      <w:r>
        <w:rPr>
          <w:szCs w:val="20"/>
        </w:rPr>
        <w:t>Opgaven</w:t>
      </w:r>
      <w:r w:rsidR="00437D36" w:rsidRPr="00B163FC">
        <w:rPr>
          <w:szCs w:val="20"/>
        </w:rPr>
        <w:t xml:space="preserve"> udføres som én samlet analyse bestående af</w:t>
      </w:r>
      <w:r>
        <w:rPr>
          <w:szCs w:val="20"/>
        </w:rPr>
        <w:t xml:space="preserve"> tre</w:t>
      </w:r>
      <w:r w:rsidR="00B53980">
        <w:rPr>
          <w:szCs w:val="20"/>
        </w:rPr>
        <w:t xml:space="preserve"> delanalyser</w:t>
      </w:r>
      <w:r w:rsidR="004C3214">
        <w:rPr>
          <w:szCs w:val="20"/>
        </w:rPr>
        <w:t>,</w:t>
      </w:r>
      <w:r w:rsidR="00437D36" w:rsidRPr="00B163FC">
        <w:rPr>
          <w:szCs w:val="20"/>
        </w:rPr>
        <w:t xml:space="preserve"> hvor relevant information som udgangspunkt forventes indsamlet ved brug af registerdata</w:t>
      </w:r>
      <w:r w:rsidR="004E708C">
        <w:rPr>
          <w:szCs w:val="20"/>
        </w:rPr>
        <w:t>,</w:t>
      </w:r>
      <w:r w:rsidR="00437D36" w:rsidRPr="00B163FC">
        <w:rPr>
          <w:szCs w:val="20"/>
        </w:rPr>
        <w:t xml:space="preserve"> spørgeskemaundersøgelser</w:t>
      </w:r>
      <w:r w:rsidR="004E708C">
        <w:rPr>
          <w:szCs w:val="20"/>
        </w:rPr>
        <w:t xml:space="preserve"> m.v.</w:t>
      </w:r>
      <w:r w:rsidR="00A34698">
        <w:rPr>
          <w:szCs w:val="20"/>
        </w:rPr>
        <w:t xml:space="preserve"> i dialog og samarbejde med Kommunernes Landsforening</w:t>
      </w:r>
      <w:r w:rsidR="00437D36" w:rsidRPr="00B163FC">
        <w:rPr>
          <w:szCs w:val="20"/>
        </w:rPr>
        <w:t xml:space="preserve"> og Danske Regioner. </w:t>
      </w:r>
    </w:p>
    <w:p w14:paraId="184DB7F0" w14:textId="212287B7" w:rsidR="001E4809" w:rsidRDefault="001E4809" w:rsidP="00437D36">
      <w:pPr>
        <w:rPr>
          <w:szCs w:val="20"/>
        </w:rPr>
      </w:pPr>
    </w:p>
    <w:p w14:paraId="7706A4B1" w14:textId="3F76D623" w:rsidR="001E4809" w:rsidRDefault="004E708C" w:rsidP="00437D36">
      <w:pPr>
        <w:rPr>
          <w:szCs w:val="20"/>
        </w:rPr>
      </w:pPr>
      <w:r>
        <w:rPr>
          <w:szCs w:val="20"/>
        </w:rPr>
        <w:t>Kortlægningen</w:t>
      </w:r>
      <w:r w:rsidR="001E4809">
        <w:rPr>
          <w:szCs w:val="20"/>
        </w:rPr>
        <w:t xml:space="preserve"> forventes således som minimum at indeholde følgende leverancer: </w:t>
      </w:r>
    </w:p>
    <w:p w14:paraId="72681AD5" w14:textId="77777777" w:rsidR="00A34698" w:rsidRDefault="001E4809" w:rsidP="00A34698">
      <w:pPr>
        <w:pStyle w:val="Listeafsnit"/>
        <w:numPr>
          <w:ilvl w:val="0"/>
          <w:numId w:val="5"/>
        </w:numPr>
        <w:rPr>
          <w:szCs w:val="20"/>
        </w:rPr>
      </w:pPr>
      <w:r>
        <w:rPr>
          <w:szCs w:val="20"/>
        </w:rPr>
        <w:t xml:space="preserve">Kortlægning af olie- </w:t>
      </w:r>
      <w:r w:rsidR="00A34698">
        <w:rPr>
          <w:szCs w:val="20"/>
        </w:rPr>
        <w:t xml:space="preserve">og gasfyr i kommunale og regionale bygninger. </w:t>
      </w:r>
    </w:p>
    <w:p w14:paraId="55FCF258" w14:textId="3EB2701C" w:rsidR="001E4809" w:rsidRPr="00A34698" w:rsidRDefault="001E4809" w:rsidP="00A34698">
      <w:pPr>
        <w:pStyle w:val="Listeafsnit"/>
        <w:numPr>
          <w:ilvl w:val="0"/>
          <w:numId w:val="5"/>
        </w:numPr>
        <w:rPr>
          <w:szCs w:val="20"/>
        </w:rPr>
      </w:pPr>
      <w:r w:rsidRPr="00A34698">
        <w:rPr>
          <w:szCs w:val="20"/>
        </w:rPr>
        <w:t>Analyse af muligheder for varmeo</w:t>
      </w:r>
      <w:r w:rsidR="00A34698">
        <w:rPr>
          <w:szCs w:val="20"/>
        </w:rPr>
        <w:t xml:space="preserve">mlægning i pågældende bygninger. </w:t>
      </w:r>
    </w:p>
    <w:p w14:paraId="47C34D30" w14:textId="77EEA049" w:rsidR="001E4809" w:rsidRDefault="001E4809" w:rsidP="005231F6">
      <w:pPr>
        <w:pStyle w:val="Listeafsnit"/>
        <w:numPr>
          <w:ilvl w:val="0"/>
          <w:numId w:val="5"/>
        </w:numPr>
        <w:rPr>
          <w:szCs w:val="20"/>
        </w:rPr>
      </w:pPr>
      <w:r>
        <w:rPr>
          <w:szCs w:val="20"/>
        </w:rPr>
        <w:t xml:space="preserve">Analyse af barrierer for udfasning af olie- og gasfyr </w:t>
      </w:r>
      <w:r w:rsidR="00F5516C">
        <w:rPr>
          <w:szCs w:val="20"/>
        </w:rPr>
        <w:t>herunder økonomi, regulering, teknologi m.v.</w:t>
      </w:r>
    </w:p>
    <w:p w14:paraId="1A5014DF" w14:textId="2A5501A9" w:rsidR="004E708C" w:rsidRPr="004E708C" w:rsidRDefault="001E4809" w:rsidP="005231F6">
      <w:pPr>
        <w:pStyle w:val="Listeafsnit"/>
        <w:numPr>
          <w:ilvl w:val="0"/>
          <w:numId w:val="5"/>
        </w:numPr>
        <w:rPr>
          <w:szCs w:val="20"/>
        </w:rPr>
      </w:pPr>
      <w:r>
        <w:rPr>
          <w:szCs w:val="20"/>
        </w:rPr>
        <w:t xml:space="preserve">Redegørelse for økonomiske konsekvenser ved en </w:t>
      </w:r>
      <w:r w:rsidR="004E708C">
        <w:rPr>
          <w:szCs w:val="20"/>
        </w:rPr>
        <w:t xml:space="preserve">forceret </w:t>
      </w:r>
      <w:r>
        <w:rPr>
          <w:szCs w:val="20"/>
        </w:rPr>
        <w:t>udfasning af olie- og gasfyr i k</w:t>
      </w:r>
      <w:r w:rsidR="00A34698">
        <w:rPr>
          <w:szCs w:val="20"/>
        </w:rPr>
        <w:t xml:space="preserve">ommunale og regionale bygninger. </w:t>
      </w:r>
    </w:p>
    <w:p w14:paraId="2A2A2B21" w14:textId="65DA44FB" w:rsidR="00F5516C" w:rsidRDefault="00F5516C" w:rsidP="005231F6">
      <w:pPr>
        <w:pStyle w:val="Listeafsnit"/>
        <w:numPr>
          <w:ilvl w:val="0"/>
          <w:numId w:val="5"/>
        </w:numPr>
        <w:rPr>
          <w:szCs w:val="20"/>
        </w:rPr>
      </w:pPr>
      <w:r>
        <w:rPr>
          <w:szCs w:val="20"/>
        </w:rPr>
        <w:t xml:space="preserve">Anbefalinger til hvorledes kommuner, regioner, virksomheder samt beslutningstagere kan fremme udfasningen af olie- og gasfyr i kommunale og regionale bygninger. </w:t>
      </w:r>
    </w:p>
    <w:p w14:paraId="01955057" w14:textId="2132EBB1" w:rsidR="00A34698" w:rsidRDefault="00A34698" w:rsidP="005231F6">
      <w:pPr>
        <w:pStyle w:val="Listeafsnit"/>
        <w:numPr>
          <w:ilvl w:val="0"/>
          <w:numId w:val="5"/>
        </w:numPr>
        <w:rPr>
          <w:szCs w:val="20"/>
        </w:rPr>
      </w:pPr>
      <w:r>
        <w:rPr>
          <w:szCs w:val="20"/>
        </w:rPr>
        <w:t xml:space="preserve">Vurdering af den nuværende energirenoveringsrate i kommuner og regioner. </w:t>
      </w:r>
    </w:p>
    <w:p w14:paraId="738CBC28" w14:textId="50185A39" w:rsidR="00A34698" w:rsidRDefault="004E708C" w:rsidP="00A34698">
      <w:pPr>
        <w:pStyle w:val="Listeafsnit"/>
        <w:numPr>
          <w:ilvl w:val="0"/>
          <w:numId w:val="5"/>
        </w:numPr>
        <w:rPr>
          <w:szCs w:val="20"/>
        </w:rPr>
      </w:pPr>
      <w:r>
        <w:rPr>
          <w:szCs w:val="20"/>
        </w:rPr>
        <w:t>Vurdering af potentialet for rent</w:t>
      </w:r>
      <w:r w:rsidR="00A34698">
        <w:rPr>
          <w:szCs w:val="20"/>
        </w:rPr>
        <w:t xml:space="preserve">able energiforbedringer i kommunale og regionale bygninger. </w:t>
      </w:r>
    </w:p>
    <w:p w14:paraId="514A0EC1" w14:textId="15CCD0BD" w:rsidR="00A34698" w:rsidRPr="00A34698" w:rsidRDefault="00A34698" w:rsidP="00A34698">
      <w:pPr>
        <w:pStyle w:val="Listeafsnit"/>
        <w:numPr>
          <w:ilvl w:val="0"/>
          <w:numId w:val="5"/>
        </w:numPr>
        <w:rPr>
          <w:szCs w:val="20"/>
        </w:rPr>
      </w:pPr>
      <w:r>
        <w:rPr>
          <w:szCs w:val="20"/>
        </w:rPr>
        <w:t xml:space="preserve">Redegørelse for eventuelle barrierer for en øget energirenoveringsrate. </w:t>
      </w:r>
    </w:p>
    <w:p w14:paraId="6F302968" w14:textId="056BC212" w:rsidR="004E708C" w:rsidRDefault="004E708C" w:rsidP="005231F6">
      <w:pPr>
        <w:ind w:left="360"/>
        <w:rPr>
          <w:szCs w:val="20"/>
        </w:rPr>
      </w:pPr>
    </w:p>
    <w:p w14:paraId="1200D694" w14:textId="37183EFD" w:rsidR="00A34698" w:rsidRPr="004E708C" w:rsidRDefault="00A34698" w:rsidP="00A34698">
      <w:pPr>
        <w:rPr>
          <w:szCs w:val="20"/>
        </w:rPr>
      </w:pPr>
      <w:r>
        <w:rPr>
          <w:szCs w:val="20"/>
        </w:rPr>
        <w:t xml:space="preserve">Tilbudsgiver inviteres til at beskrive, hvordan tilbudsgiver vil udføre vurderingen af potentialet for rentable energiforbedringer i den kommunale og regionale bygningsmasse. </w:t>
      </w:r>
      <w:bookmarkStart w:id="1" w:name="_GoBack"/>
      <w:bookmarkEnd w:id="1"/>
    </w:p>
    <w:p w14:paraId="61B82A03" w14:textId="257FF161" w:rsidR="00437D36" w:rsidRDefault="00437D36" w:rsidP="00437D36">
      <w:pPr>
        <w:rPr>
          <w:szCs w:val="20"/>
        </w:rPr>
      </w:pPr>
    </w:p>
    <w:p w14:paraId="71E633D7" w14:textId="27BD37D4" w:rsidR="00571BBE" w:rsidRDefault="00571BBE" w:rsidP="00571BBE">
      <w:pPr>
        <w:pStyle w:val="Overskrift2"/>
        <w:keepLines w:val="0"/>
        <w:numPr>
          <w:ilvl w:val="1"/>
          <w:numId w:val="1"/>
        </w:numPr>
        <w:overflowPunct w:val="0"/>
        <w:autoSpaceDE w:val="0"/>
        <w:autoSpaceDN w:val="0"/>
        <w:adjustRightInd w:val="0"/>
        <w:spacing w:before="0" w:line="240" w:lineRule="auto"/>
        <w:jc w:val="both"/>
        <w:textAlignment w:val="baseline"/>
        <w:rPr>
          <w:sz w:val="20"/>
          <w:szCs w:val="20"/>
        </w:rPr>
      </w:pPr>
      <w:r>
        <w:rPr>
          <w:sz w:val="20"/>
          <w:szCs w:val="20"/>
        </w:rPr>
        <w:t xml:space="preserve">Formål og succeskriterier </w:t>
      </w:r>
    </w:p>
    <w:p w14:paraId="75D9AB83" w14:textId="77777777" w:rsidR="00A34698" w:rsidRDefault="00A34698" w:rsidP="00A34698">
      <w:r>
        <w:t xml:space="preserve">Formålet med opgaven er, at få kortlagt olie- og gasfyr og den nuværende energirenoveringsrate samt potentialet for rentable energiforbedringer i kommunale og regionale bygninger. </w:t>
      </w:r>
    </w:p>
    <w:p w14:paraId="44CFEBF9" w14:textId="77777777" w:rsidR="00A34698" w:rsidRDefault="00A34698" w:rsidP="00A34698"/>
    <w:p w14:paraId="1FE9FD78" w14:textId="376161F2" w:rsidR="00A34698" w:rsidRDefault="00A34698" w:rsidP="00A34698">
      <w:r>
        <w:t xml:space="preserve">Opgaven skal resultere i en rapport om kortlægningen af olie- og gasfyr såvel vurdering af potentialet for rentable energiforbedringer samt muligheder og barrierer for udfasning af de kortlagte olie- og gasfyr og en øget energirenoveringsrate. </w:t>
      </w:r>
    </w:p>
    <w:p w14:paraId="2DF754C3" w14:textId="09EFB5A7" w:rsidR="00A34698" w:rsidRDefault="00A34698" w:rsidP="00A34698"/>
    <w:p w14:paraId="4C18906C" w14:textId="0ED2A91A" w:rsidR="00A34698" w:rsidRDefault="00EC6FEF" w:rsidP="00A34698">
      <w:pPr>
        <w:pStyle w:val="Overskrift2"/>
        <w:keepLines w:val="0"/>
        <w:numPr>
          <w:ilvl w:val="1"/>
          <w:numId w:val="1"/>
        </w:numPr>
        <w:overflowPunct w:val="0"/>
        <w:autoSpaceDE w:val="0"/>
        <w:autoSpaceDN w:val="0"/>
        <w:adjustRightInd w:val="0"/>
        <w:spacing w:before="0" w:line="240" w:lineRule="auto"/>
        <w:jc w:val="both"/>
        <w:textAlignment w:val="baseline"/>
        <w:rPr>
          <w:sz w:val="20"/>
          <w:szCs w:val="20"/>
        </w:rPr>
      </w:pPr>
      <w:r>
        <w:rPr>
          <w:sz w:val="20"/>
          <w:szCs w:val="20"/>
        </w:rPr>
        <w:t xml:space="preserve">Tilbud </w:t>
      </w:r>
    </w:p>
    <w:p w14:paraId="0964013B" w14:textId="77777777" w:rsidR="00EC6FEF" w:rsidRDefault="00EC6FEF" w:rsidP="00EC6FEF">
      <w:pPr>
        <w:rPr>
          <w:rFonts w:cs="Arial"/>
          <w:iCs/>
          <w:szCs w:val="20"/>
        </w:rPr>
      </w:pPr>
      <w:r>
        <w:rPr>
          <w:rFonts w:cs="Arial"/>
          <w:iCs/>
          <w:szCs w:val="20"/>
        </w:rPr>
        <w:t>I tilbuddet ønskes en konkretisering af, hvordan tilbudsgiver vil indsamle og behandle de nødvendige oplysninger til brug i de respektive delanalyser, samt at tilbudsgiver konkretiserer hvilket produkt, der arbejdes hen imod, ud fra hver delanalyse.</w:t>
      </w:r>
    </w:p>
    <w:p w14:paraId="5C8FFA1E" w14:textId="77777777" w:rsidR="00EC6FEF" w:rsidRDefault="00EC6FEF" w:rsidP="00EC6FEF">
      <w:pPr>
        <w:rPr>
          <w:rFonts w:cs="Arial"/>
          <w:iCs/>
          <w:szCs w:val="20"/>
        </w:rPr>
      </w:pPr>
    </w:p>
    <w:p w14:paraId="1A7B27E5" w14:textId="77777777" w:rsidR="00EC6FEF" w:rsidRPr="00F63D73" w:rsidRDefault="00EC6FEF" w:rsidP="00EC6FEF">
      <w:r w:rsidRPr="00152928">
        <w:t>Derudover forventes det, at tilbudsgiver argumenterer for, hvorfor den valgte metode eller kombinationer af metoder er den bedste løsning i forhold til indhentning af data til løsning af opgaven.</w:t>
      </w:r>
    </w:p>
    <w:p w14:paraId="01B62B40" w14:textId="77777777" w:rsidR="00EC6FEF" w:rsidRPr="00C760E4" w:rsidRDefault="00EC6FEF" w:rsidP="00EC6FEF"/>
    <w:p w14:paraId="44A5EC6C" w14:textId="77777777" w:rsidR="00EC6FEF" w:rsidRDefault="00EC6FEF" w:rsidP="00EC6FEF">
      <w:r>
        <w:t>Beskrivelse</w:t>
      </w:r>
      <w:r w:rsidRPr="00C760E4">
        <w:t xml:space="preserve"> og argumentation for metodevalg</w:t>
      </w:r>
      <w:r>
        <w:t xml:space="preserve"> og konkretisering af tilbudsgivers forståelse af opgaven</w:t>
      </w:r>
      <w:r w:rsidRPr="00C760E4">
        <w:t xml:space="preserve"> er en væsentlig faktor i vurderingen af de indkomne tilbud på løsning af den udbudte opgave.</w:t>
      </w:r>
    </w:p>
    <w:p w14:paraId="2C6BD197" w14:textId="77777777" w:rsidR="00EC6FEF" w:rsidRDefault="00EC6FEF" w:rsidP="00EC6FEF">
      <w:pPr>
        <w:rPr>
          <w:rFonts w:cs="Arial"/>
          <w:iCs/>
          <w:szCs w:val="20"/>
        </w:rPr>
      </w:pPr>
    </w:p>
    <w:p w14:paraId="3F545CFB" w14:textId="585A1AA0" w:rsidR="00EC6FEF" w:rsidRPr="00C522DA" w:rsidRDefault="00EC6FEF" w:rsidP="00EC6FEF">
      <w:r w:rsidRPr="00C522DA">
        <w:t xml:space="preserve">Tilbuddet </w:t>
      </w:r>
      <w:r>
        <w:t>bedes</w:t>
      </w:r>
      <w:r w:rsidRPr="00C522DA">
        <w:t xml:space="preserve"> send</w:t>
      </w:r>
      <w:r>
        <w:t>t</w:t>
      </w:r>
      <w:r w:rsidRPr="00C522DA">
        <w:t xml:space="preserve"> til Energistyrelsen senest </w:t>
      </w:r>
      <w:r w:rsidR="00E823A2" w:rsidRPr="00E823A2">
        <w:rPr>
          <w:b/>
        </w:rPr>
        <w:t xml:space="preserve">d. </w:t>
      </w:r>
      <w:r w:rsidR="00734C21">
        <w:rPr>
          <w:b/>
        </w:rPr>
        <w:t>28</w:t>
      </w:r>
      <w:r w:rsidR="00E823A2" w:rsidRPr="00E823A2">
        <w:rPr>
          <w:b/>
        </w:rPr>
        <w:t>. ju</w:t>
      </w:r>
      <w:r w:rsidR="00734C21">
        <w:rPr>
          <w:b/>
        </w:rPr>
        <w:t>n</w:t>
      </w:r>
      <w:r w:rsidR="00E823A2" w:rsidRPr="00E823A2">
        <w:rPr>
          <w:b/>
        </w:rPr>
        <w:t>i</w:t>
      </w:r>
      <w:r w:rsidRPr="00E823A2">
        <w:rPr>
          <w:b/>
        </w:rPr>
        <w:t xml:space="preserve"> 2021</w:t>
      </w:r>
      <w:r w:rsidR="004C3214">
        <w:rPr>
          <w:b/>
        </w:rPr>
        <w:t xml:space="preserve"> kl. 10</w:t>
      </w:r>
      <w:r w:rsidRPr="00C522DA">
        <w:rPr>
          <w:b/>
        </w:rPr>
        <w:t xml:space="preserve"> </w:t>
      </w:r>
      <w:r w:rsidRPr="00C522DA">
        <w:t xml:space="preserve">til </w:t>
      </w:r>
      <w:r>
        <w:t>Allan Bertelsen (</w:t>
      </w:r>
      <w:hyperlink r:id="rId7" w:history="1">
        <w:r w:rsidRPr="004E45B6">
          <w:rPr>
            <w:rStyle w:val="Hyperlink"/>
          </w:rPr>
          <w:t>anbn@ens.dk</w:t>
        </w:r>
      </w:hyperlink>
      <w:r>
        <w:t>, 33 95 08 50) og Ida Hindborg Riise-Knudsen (</w:t>
      </w:r>
      <w:hyperlink r:id="rId8" w:history="1">
        <w:r w:rsidRPr="004E45B6">
          <w:rPr>
            <w:rStyle w:val="Hyperlink"/>
          </w:rPr>
          <w:t>irk@ens.dk</w:t>
        </w:r>
      </w:hyperlink>
      <w:r>
        <w:t xml:space="preserve"> </w:t>
      </w:r>
      <w:r w:rsidRPr="002C6BBF">
        <w:t>33 9</w:t>
      </w:r>
      <w:r>
        <w:t>2 78 13</w:t>
      </w:r>
      <w:r w:rsidRPr="002C6BBF">
        <w:t>)</w:t>
      </w:r>
      <w:r>
        <w:t>.</w:t>
      </w:r>
    </w:p>
    <w:p w14:paraId="227FDBD5" w14:textId="77777777" w:rsidR="00EC6FEF" w:rsidRPr="00C522DA" w:rsidRDefault="00EC6FEF" w:rsidP="00EC6FEF">
      <w:pPr>
        <w:rPr>
          <w:b/>
        </w:rPr>
      </w:pPr>
    </w:p>
    <w:p w14:paraId="1E213B45" w14:textId="77777777" w:rsidR="00EC6FEF" w:rsidRPr="00C522DA" w:rsidRDefault="00EC6FEF" w:rsidP="00EC6FEF">
      <w:pPr>
        <w:autoSpaceDE w:val="0"/>
        <w:autoSpaceDN w:val="0"/>
        <w:adjustRightInd w:val="0"/>
        <w:spacing w:line="240" w:lineRule="auto"/>
        <w:rPr>
          <w:rFonts w:ascii="Times New Roman" w:hAnsi="Times New Roman" w:cs="Times New Roman"/>
          <w:color w:val="000000"/>
          <w:sz w:val="24"/>
          <w:szCs w:val="24"/>
        </w:rPr>
      </w:pPr>
      <w:r w:rsidRPr="00C522DA">
        <w:t>Tilbud skal afleveres i 1 elektronisk eksemplar i pdf-format (max 20 sider)</w:t>
      </w:r>
      <w:r>
        <w:t>,</w:t>
      </w:r>
      <w:r w:rsidRPr="00C522DA">
        <w:t xml:space="preserve"> og</w:t>
      </w:r>
      <w:r>
        <w:t xml:space="preserve"> tilbuddet</w:t>
      </w:r>
      <w:r w:rsidRPr="00C522DA">
        <w:t xml:space="preserve"> skal som minimum indeholde:</w:t>
      </w:r>
    </w:p>
    <w:p w14:paraId="7BEB8514" w14:textId="77777777" w:rsidR="00EC6FEF" w:rsidRPr="00C522DA" w:rsidRDefault="00EC6FEF" w:rsidP="00EC6FEF">
      <w:pPr>
        <w:numPr>
          <w:ilvl w:val="0"/>
          <w:numId w:val="9"/>
        </w:numPr>
        <w:contextualSpacing/>
      </w:pPr>
      <w:r w:rsidRPr="00C522DA">
        <w:t xml:space="preserve">Tilbudsgivers kontaktoplysninger </w:t>
      </w:r>
    </w:p>
    <w:p w14:paraId="155D4741" w14:textId="77777777" w:rsidR="00EC6FEF" w:rsidRPr="00C522DA" w:rsidRDefault="00EC6FEF" w:rsidP="00EC6FEF">
      <w:pPr>
        <w:numPr>
          <w:ilvl w:val="0"/>
          <w:numId w:val="9"/>
        </w:numPr>
        <w:contextualSpacing/>
      </w:pPr>
      <w:r w:rsidRPr="00C522DA">
        <w:t xml:space="preserve">Tilbud med beskrivelse af opgavens løsning, herunder </w:t>
      </w:r>
    </w:p>
    <w:p w14:paraId="36834D2C" w14:textId="77777777" w:rsidR="00EC6FEF" w:rsidRDefault="00EC6FEF" w:rsidP="00EC6FEF">
      <w:pPr>
        <w:numPr>
          <w:ilvl w:val="1"/>
          <w:numId w:val="9"/>
        </w:numPr>
        <w:contextualSpacing/>
      </w:pPr>
      <w:r>
        <w:t>Konkretisering af metode og indsamling af empiri for hver delanalyse</w:t>
      </w:r>
    </w:p>
    <w:p w14:paraId="6634728A" w14:textId="77777777" w:rsidR="00EC6FEF" w:rsidRPr="00C522DA" w:rsidRDefault="00EC6FEF" w:rsidP="00EC6FEF">
      <w:pPr>
        <w:numPr>
          <w:ilvl w:val="1"/>
          <w:numId w:val="9"/>
        </w:numPr>
        <w:contextualSpacing/>
      </w:pPr>
      <w:r>
        <w:t>Konkretisering af forventet produkt for hver delanalyse</w:t>
      </w:r>
    </w:p>
    <w:p w14:paraId="051B0502" w14:textId="77777777" w:rsidR="00EC6FEF" w:rsidRDefault="00EC6FEF" w:rsidP="00EC6FEF">
      <w:pPr>
        <w:numPr>
          <w:ilvl w:val="1"/>
          <w:numId w:val="9"/>
        </w:numPr>
        <w:contextualSpacing/>
      </w:pPr>
      <w:r w:rsidRPr="00C522DA">
        <w:t xml:space="preserve">Hvordan tilbudsgiver sikrer en effektiv udførelse af analysen, der sikrer en analyse af høj kvalitet, som kan afsluttes til det ønskede tidspunkt </w:t>
      </w:r>
    </w:p>
    <w:p w14:paraId="789BCE47" w14:textId="77777777" w:rsidR="00EC6FEF" w:rsidRPr="00C522DA" w:rsidRDefault="00EC6FEF" w:rsidP="00EC6FEF">
      <w:pPr>
        <w:numPr>
          <w:ilvl w:val="0"/>
          <w:numId w:val="9"/>
        </w:numPr>
        <w:contextualSpacing/>
      </w:pPr>
      <w:r w:rsidRPr="00C522DA">
        <w:t xml:space="preserve">Samlet pris på opgaven </w:t>
      </w:r>
    </w:p>
    <w:p w14:paraId="0C456E9C" w14:textId="77777777" w:rsidR="00EC6FEF" w:rsidRPr="00C522DA" w:rsidRDefault="00EC6FEF" w:rsidP="00EC6FEF">
      <w:pPr>
        <w:numPr>
          <w:ilvl w:val="0"/>
          <w:numId w:val="9"/>
        </w:numPr>
        <w:contextualSpacing/>
      </w:pPr>
      <w:r w:rsidRPr="00C522DA">
        <w:t xml:space="preserve">Anslået tidsforbrug – samlet og fordelt på konsulentopgavens delelementer samt fordelt på medarbejdere. </w:t>
      </w:r>
    </w:p>
    <w:p w14:paraId="5EB1110A" w14:textId="77777777" w:rsidR="00EC6FEF" w:rsidRDefault="00EC6FEF" w:rsidP="00EC6FEF">
      <w:pPr>
        <w:numPr>
          <w:ilvl w:val="0"/>
          <w:numId w:val="9"/>
        </w:numPr>
        <w:contextualSpacing/>
      </w:pPr>
      <w:r w:rsidRPr="00C522DA">
        <w:t xml:space="preserve">En beskrivelse af relevante kvalifikationer hos tilbudsgiver i relation til opgaven samt referencer til tidligere relevante opgaveløsninger. </w:t>
      </w:r>
    </w:p>
    <w:p w14:paraId="49E79994" w14:textId="77777777" w:rsidR="00EC6FEF" w:rsidRDefault="00EC6FEF" w:rsidP="00EC6FEF">
      <w:pPr>
        <w:contextualSpacing/>
      </w:pPr>
    </w:p>
    <w:p w14:paraId="54FBA0A6" w14:textId="77777777" w:rsidR="00EC6FEF" w:rsidRPr="00C522DA" w:rsidRDefault="00EC6FEF" w:rsidP="00EC6FEF">
      <w:r w:rsidRPr="00C522DA">
        <w:t>Valg af tilbudsgiver vil ske ud fra det overordnede tildelingskriterium</w:t>
      </w:r>
      <w:r>
        <w:t>,</w:t>
      </w:r>
      <w:r w:rsidRPr="00C522DA">
        <w:t xml:space="preserve"> det økonomisk mest fordelagtige tilbud. Det økonomisk mest fordelagtige bud identificeres på grundlag af følgende underkriterier:</w:t>
      </w:r>
    </w:p>
    <w:p w14:paraId="544EF0FF" w14:textId="77777777" w:rsidR="00EC6FEF" w:rsidRPr="00C522DA" w:rsidRDefault="00EC6FEF" w:rsidP="00EC6FEF">
      <w:pPr>
        <w:numPr>
          <w:ilvl w:val="0"/>
          <w:numId w:val="10"/>
        </w:numPr>
        <w:contextualSpacing/>
      </w:pPr>
      <w:r w:rsidRPr="00C522DA">
        <w:t>Beskrivelse af opgavelø</w:t>
      </w:r>
      <w:r>
        <w:t>sning inkl. tidsplan (vægtning 5</w:t>
      </w:r>
      <w:r w:rsidRPr="00C522DA">
        <w:t>0 %)</w:t>
      </w:r>
    </w:p>
    <w:p w14:paraId="738047AB" w14:textId="77777777" w:rsidR="00EC6FEF" w:rsidRPr="00C522DA" w:rsidRDefault="00EC6FEF" w:rsidP="00EC6FEF">
      <w:pPr>
        <w:numPr>
          <w:ilvl w:val="0"/>
          <w:numId w:val="10"/>
        </w:numPr>
        <w:contextualSpacing/>
      </w:pPr>
      <w:r>
        <w:t>K</w:t>
      </w:r>
      <w:r w:rsidRPr="00C522DA">
        <w:t>valifikationer og erfaringer med lignende opgaver (vægtning 30 %)</w:t>
      </w:r>
    </w:p>
    <w:p w14:paraId="0FC202B4" w14:textId="78213445" w:rsidR="00EC6FEF" w:rsidRDefault="00EC6FEF" w:rsidP="00EC6FEF">
      <w:pPr>
        <w:numPr>
          <w:ilvl w:val="0"/>
          <w:numId w:val="10"/>
        </w:numPr>
        <w:contextualSpacing/>
      </w:pPr>
      <w:r w:rsidRPr="00C522DA">
        <w:t>Samlet</w:t>
      </w:r>
      <w:r>
        <w:t xml:space="preserve"> pris på opgaven (vægtning 2</w:t>
      </w:r>
      <w:r w:rsidRPr="00C522DA">
        <w:t>0 %)</w:t>
      </w:r>
    </w:p>
    <w:p w14:paraId="2CDF3B7F" w14:textId="0DC3E02B" w:rsidR="001043E0" w:rsidRDefault="001043E0" w:rsidP="001043E0">
      <w:pPr>
        <w:contextualSpacing/>
      </w:pPr>
    </w:p>
    <w:p w14:paraId="25D148A2" w14:textId="25DD22C8" w:rsidR="001043E0" w:rsidRDefault="001043E0" w:rsidP="001043E0">
      <w:pPr>
        <w:pStyle w:val="Overskrift2"/>
        <w:keepLines w:val="0"/>
        <w:numPr>
          <w:ilvl w:val="1"/>
          <w:numId w:val="1"/>
        </w:numPr>
        <w:overflowPunct w:val="0"/>
        <w:autoSpaceDE w:val="0"/>
        <w:autoSpaceDN w:val="0"/>
        <w:adjustRightInd w:val="0"/>
        <w:spacing w:before="0" w:line="240" w:lineRule="auto"/>
        <w:jc w:val="both"/>
        <w:textAlignment w:val="baseline"/>
        <w:rPr>
          <w:sz w:val="20"/>
          <w:szCs w:val="20"/>
        </w:rPr>
      </w:pPr>
      <w:r>
        <w:rPr>
          <w:sz w:val="20"/>
          <w:szCs w:val="20"/>
        </w:rPr>
        <w:t xml:space="preserve">Organisering og budget </w:t>
      </w:r>
    </w:p>
    <w:p w14:paraId="2F8C290D" w14:textId="0DB14F95" w:rsidR="001043E0" w:rsidRDefault="001043E0" w:rsidP="001043E0">
      <w:r>
        <w:t>Analysen udbydes som en konsulentopgave forankret i Energistyrelsen. Energistyrelsen er repræsenteret ved Allan Bertelsen (</w:t>
      </w:r>
      <w:hyperlink r:id="rId9" w:history="1">
        <w:r w:rsidRPr="004E45B6">
          <w:rPr>
            <w:rStyle w:val="Hyperlink"/>
          </w:rPr>
          <w:t>anbn@ens.dk</w:t>
        </w:r>
      </w:hyperlink>
      <w:r>
        <w:t>, 33 95 08 50) og Ida Hindborg Riise-Knudsen (</w:t>
      </w:r>
      <w:hyperlink r:id="rId10" w:history="1">
        <w:r w:rsidRPr="004E45B6">
          <w:rPr>
            <w:rStyle w:val="Hyperlink"/>
          </w:rPr>
          <w:t>irk@ens.dk</w:t>
        </w:r>
      </w:hyperlink>
      <w:r>
        <w:t xml:space="preserve"> </w:t>
      </w:r>
      <w:r w:rsidRPr="002C6BBF">
        <w:t>33 9</w:t>
      </w:r>
      <w:r>
        <w:t>2 78 13</w:t>
      </w:r>
      <w:r w:rsidRPr="002C6BBF">
        <w:t>)</w:t>
      </w:r>
      <w:r>
        <w:t>.</w:t>
      </w:r>
    </w:p>
    <w:p w14:paraId="4B8974AF" w14:textId="78DC68FF" w:rsidR="001043E0" w:rsidRDefault="001043E0" w:rsidP="001043E0"/>
    <w:p w14:paraId="3AB4E584" w14:textId="03406F6F" w:rsidR="001043E0" w:rsidRPr="001043E0" w:rsidRDefault="00B85DFB" w:rsidP="001043E0">
      <w:r>
        <w:t xml:space="preserve">Opgaven har en udbudsramme på max 900.000 kr. ekskl. moms. Tilbudsgiver skal give en fast pris på opgaveløsningen. Det tillægges positiv betydning, jo lavere den tilbudte pris er i forhold til den maksimale pris. </w:t>
      </w:r>
    </w:p>
    <w:p w14:paraId="2E7B7750" w14:textId="77777777" w:rsidR="001043E0" w:rsidRPr="00EC6FEF" w:rsidRDefault="001043E0" w:rsidP="001043E0">
      <w:pPr>
        <w:contextualSpacing/>
      </w:pPr>
    </w:p>
    <w:p w14:paraId="0529A4CB" w14:textId="6645643E" w:rsidR="00571BBE" w:rsidRDefault="00571BBE" w:rsidP="00571BBE"/>
    <w:p w14:paraId="76699CB8" w14:textId="646D90B3" w:rsidR="00571BBE" w:rsidRDefault="00571BBE" w:rsidP="00571BBE">
      <w:pPr>
        <w:pStyle w:val="Overskrift2"/>
        <w:keepLines w:val="0"/>
        <w:numPr>
          <w:ilvl w:val="1"/>
          <w:numId w:val="1"/>
        </w:numPr>
        <w:overflowPunct w:val="0"/>
        <w:autoSpaceDE w:val="0"/>
        <w:autoSpaceDN w:val="0"/>
        <w:adjustRightInd w:val="0"/>
        <w:spacing w:before="0" w:line="240" w:lineRule="auto"/>
        <w:jc w:val="both"/>
        <w:textAlignment w:val="baseline"/>
        <w:rPr>
          <w:sz w:val="20"/>
          <w:szCs w:val="20"/>
        </w:rPr>
      </w:pPr>
      <w:r>
        <w:rPr>
          <w:sz w:val="20"/>
          <w:szCs w:val="20"/>
        </w:rPr>
        <w:t>Tidsplan</w:t>
      </w:r>
    </w:p>
    <w:p w14:paraId="0F238CD2" w14:textId="61309E7D" w:rsidR="00571BBE" w:rsidRDefault="00571BBE" w:rsidP="00571BBE"/>
    <w:tbl>
      <w:tblPr>
        <w:tblStyle w:val="Tabel-Gitter"/>
        <w:tblW w:w="0" w:type="auto"/>
        <w:tblLook w:val="04A0" w:firstRow="1" w:lastRow="0" w:firstColumn="1" w:lastColumn="0" w:noHBand="0" w:noVBand="1"/>
      </w:tblPr>
      <w:tblGrid>
        <w:gridCol w:w="3694"/>
        <w:gridCol w:w="3695"/>
      </w:tblGrid>
      <w:tr w:rsidR="00571BBE" w14:paraId="532AB17C" w14:textId="77777777" w:rsidTr="00571BBE">
        <w:tc>
          <w:tcPr>
            <w:tcW w:w="3694" w:type="dxa"/>
          </w:tcPr>
          <w:p w14:paraId="374E797F" w14:textId="71F25909" w:rsidR="00571BBE" w:rsidRDefault="00571BBE" w:rsidP="00571BBE">
            <w:r>
              <w:t>Udbudsrunde startes</w:t>
            </w:r>
          </w:p>
        </w:tc>
        <w:tc>
          <w:tcPr>
            <w:tcW w:w="3695" w:type="dxa"/>
          </w:tcPr>
          <w:p w14:paraId="5897D09B" w14:textId="423958D9" w:rsidR="00571BBE" w:rsidRDefault="001043E0" w:rsidP="00571BBE">
            <w:r>
              <w:t>14. juni</w:t>
            </w:r>
          </w:p>
        </w:tc>
      </w:tr>
      <w:tr w:rsidR="00571BBE" w14:paraId="24A1E470" w14:textId="77777777" w:rsidTr="00571BBE">
        <w:tc>
          <w:tcPr>
            <w:tcW w:w="3694" w:type="dxa"/>
          </w:tcPr>
          <w:p w14:paraId="27E7C075" w14:textId="193A5A2B" w:rsidR="00571BBE" w:rsidRDefault="00571BBE" w:rsidP="00571BBE">
            <w:r>
              <w:t xml:space="preserve">Udbudsrunde afsluttes </w:t>
            </w:r>
          </w:p>
        </w:tc>
        <w:tc>
          <w:tcPr>
            <w:tcW w:w="3695" w:type="dxa"/>
          </w:tcPr>
          <w:p w14:paraId="00CF1D41" w14:textId="39B51C51" w:rsidR="00571BBE" w:rsidRDefault="00734C21" w:rsidP="001043E0">
            <w:r>
              <w:t>28</w:t>
            </w:r>
            <w:r w:rsidR="001043E0">
              <w:t>. ju</w:t>
            </w:r>
            <w:r>
              <w:t>n</w:t>
            </w:r>
            <w:r w:rsidR="001043E0">
              <w:t xml:space="preserve">i </w:t>
            </w:r>
            <w:r w:rsidR="001D59EC">
              <w:t>klokken 10:00</w:t>
            </w:r>
          </w:p>
        </w:tc>
      </w:tr>
      <w:tr w:rsidR="00571BBE" w14:paraId="1640C7A4" w14:textId="77777777" w:rsidTr="00571BBE">
        <w:tc>
          <w:tcPr>
            <w:tcW w:w="3694" w:type="dxa"/>
          </w:tcPr>
          <w:p w14:paraId="71C55B67" w14:textId="74754D4B" w:rsidR="00571BBE" w:rsidRDefault="00571BBE" w:rsidP="00571BBE">
            <w:r>
              <w:t>Valg af leverandør og opstart</w:t>
            </w:r>
          </w:p>
        </w:tc>
        <w:tc>
          <w:tcPr>
            <w:tcW w:w="3695" w:type="dxa"/>
          </w:tcPr>
          <w:p w14:paraId="3B506508" w14:textId="377035E0" w:rsidR="00571BBE" w:rsidRDefault="00E02D8F" w:rsidP="00571BBE">
            <w:r>
              <w:t>2</w:t>
            </w:r>
            <w:r w:rsidR="00571BBE">
              <w:t>. juli</w:t>
            </w:r>
          </w:p>
        </w:tc>
      </w:tr>
      <w:tr w:rsidR="0011573F" w14:paraId="3632BCDA" w14:textId="77777777" w:rsidTr="00571BBE">
        <w:tc>
          <w:tcPr>
            <w:tcW w:w="3694" w:type="dxa"/>
          </w:tcPr>
          <w:p w14:paraId="24941455" w14:textId="609E2CB4" w:rsidR="0011573F" w:rsidRDefault="0011573F" w:rsidP="00571BBE">
            <w:r>
              <w:t>Kontraktindgåelse</w:t>
            </w:r>
          </w:p>
        </w:tc>
        <w:tc>
          <w:tcPr>
            <w:tcW w:w="3695" w:type="dxa"/>
          </w:tcPr>
          <w:p w14:paraId="5FDCD70B" w14:textId="01D87414" w:rsidR="0011573F" w:rsidRDefault="00FF51BB" w:rsidP="00571BBE">
            <w:r>
              <w:t>7</w:t>
            </w:r>
            <w:r w:rsidR="0011573F">
              <w:t>. juli</w:t>
            </w:r>
          </w:p>
        </w:tc>
      </w:tr>
      <w:tr w:rsidR="001043C5" w14:paraId="10265DDF" w14:textId="77777777" w:rsidTr="00571BBE">
        <w:tc>
          <w:tcPr>
            <w:tcW w:w="3694" w:type="dxa"/>
          </w:tcPr>
          <w:p w14:paraId="17CC3F7B" w14:textId="0640C511" w:rsidR="001043C5" w:rsidRDefault="001043C5" w:rsidP="00571BBE">
            <w:r>
              <w:t>Opstartsmøde og godkendelse af procesplan med milepæle m.v.</w:t>
            </w:r>
          </w:p>
        </w:tc>
        <w:tc>
          <w:tcPr>
            <w:tcW w:w="3695" w:type="dxa"/>
          </w:tcPr>
          <w:p w14:paraId="11AC0AC8" w14:textId="1238F92E" w:rsidR="001043C5" w:rsidRDefault="00FF51BB" w:rsidP="00571BBE">
            <w:r>
              <w:t>7</w:t>
            </w:r>
            <w:r w:rsidR="001043C5">
              <w:t>. juli</w:t>
            </w:r>
          </w:p>
        </w:tc>
      </w:tr>
      <w:tr w:rsidR="001043C5" w14:paraId="52CE0920" w14:textId="77777777" w:rsidTr="00571BBE">
        <w:tc>
          <w:tcPr>
            <w:tcW w:w="3694" w:type="dxa"/>
          </w:tcPr>
          <w:p w14:paraId="042050E9" w14:textId="3833F1CA" w:rsidR="001043C5" w:rsidRDefault="001043C5" w:rsidP="00571BBE">
            <w:r>
              <w:t>Interessentinddragelse med orientering af KL og Danske Regioner</w:t>
            </w:r>
          </w:p>
        </w:tc>
        <w:tc>
          <w:tcPr>
            <w:tcW w:w="3695" w:type="dxa"/>
          </w:tcPr>
          <w:p w14:paraId="66CC9DC9" w14:textId="2D464B7A" w:rsidR="001043C5" w:rsidRDefault="001043C5" w:rsidP="00571BBE">
            <w:r>
              <w:t>(løbende)</w:t>
            </w:r>
          </w:p>
        </w:tc>
      </w:tr>
      <w:tr w:rsidR="00447D68" w14:paraId="67390843" w14:textId="77777777" w:rsidTr="00571BBE">
        <w:tc>
          <w:tcPr>
            <w:tcW w:w="3694" w:type="dxa"/>
          </w:tcPr>
          <w:p w14:paraId="5057D815" w14:textId="06DA73D9" w:rsidR="00447D68" w:rsidRDefault="00447D68" w:rsidP="00571BBE">
            <w:r>
              <w:t xml:space="preserve">Status på kortlægningen </w:t>
            </w:r>
            <w:r w:rsidR="005C371B">
              <w:t>af olie- og gasfyr</w:t>
            </w:r>
          </w:p>
        </w:tc>
        <w:tc>
          <w:tcPr>
            <w:tcW w:w="3695" w:type="dxa"/>
          </w:tcPr>
          <w:p w14:paraId="55097778" w14:textId="2A043239" w:rsidR="00447D68" w:rsidRDefault="00447D68" w:rsidP="00571BBE">
            <w:r>
              <w:t xml:space="preserve">15. september </w:t>
            </w:r>
          </w:p>
        </w:tc>
      </w:tr>
      <w:tr w:rsidR="005C371B" w14:paraId="4B7B13AB" w14:textId="77777777" w:rsidTr="00571BBE">
        <w:tc>
          <w:tcPr>
            <w:tcW w:w="3694" w:type="dxa"/>
          </w:tcPr>
          <w:p w14:paraId="2FC19006" w14:textId="4412B72B" w:rsidR="005C371B" w:rsidRDefault="005C371B" w:rsidP="00571BBE">
            <w:r>
              <w:t xml:space="preserve">Status på kortlægning samt potentialevurdering </w:t>
            </w:r>
          </w:p>
        </w:tc>
        <w:tc>
          <w:tcPr>
            <w:tcW w:w="3695" w:type="dxa"/>
          </w:tcPr>
          <w:p w14:paraId="2FBEF2F3" w14:textId="7040BF86" w:rsidR="005C371B" w:rsidRDefault="005C371B" w:rsidP="00571BBE">
            <w:r>
              <w:t>15. oktober</w:t>
            </w:r>
          </w:p>
        </w:tc>
      </w:tr>
      <w:tr w:rsidR="00447D68" w14:paraId="5FCB60BE" w14:textId="77777777" w:rsidTr="00571BBE">
        <w:tc>
          <w:tcPr>
            <w:tcW w:w="3694" w:type="dxa"/>
          </w:tcPr>
          <w:p w14:paraId="34B0D014" w14:textId="621EF5F7" w:rsidR="00447D68" w:rsidRDefault="00447D68" w:rsidP="00571BBE">
            <w:r>
              <w:t xml:space="preserve">Delkonklusioner og rapport udkast til kommentering ved ENS </w:t>
            </w:r>
          </w:p>
        </w:tc>
        <w:tc>
          <w:tcPr>
            <w:tcW w:w="3695" w:type="dxa"/>
          </w:tcPr>
          <w:p w14:paraId="7E2B5791" w14:textId="7EC0FF04" w:rsidR="00447D68" w:rsidRDefault="00447D68" w:rsidP="00571BBE">
            <w:r>
              <w:t>Uge 43</w:t>
            </w:r>
          </w:p>
        </w:tc>
      </w:tr>
      <w:tr w:rsidR="00571BBE" w14:paraId="65748318" w14:textId="77777777" w:rsidTr="00571BBE">
        <w:tc>
          <w:tcPr>
            <w:tcW w:w="3694" w:type="dxa"/>
          </w:tcPr>
          <w:p w14:paraId="4E3788FD" w14:textId="4323E890" w:rsidR="00571BBE" w:rsidRDefault="00571BBE" w:rsidP="00571BBE">
            <w:r>
              <w:t>Udarbejdelse af analyse og rapport</w:t>
            </w:r>
          </w:p>
        </w:tc>
        <w:tc>
          <w:tcPr>
            <w:tcW w:w="3695" w:type="dxa"/>
          </w:tcPr>
          <w:p w14:paraId="438F2468" w14:textId="19A60C9D" w:rsidR="00571BBE" w:rsidRDefault="00E132A1" w:rsidP="00571BBE">
            <w:r>
              <w:t>Afsluttes uge 45</w:t>
            </w:r>
          </w:p>
        </w:tc>
      </w:tr>
      <w:tr w:rsidR="00571BBE" w14:paraId="313ED44A" w14:textId="77777777" w:rsidTr="00571BBE">
        <w:tc>
          <w:tcPr>
            <w:tcW w:w="3694" w:type="dxa"/>
          </w:tcPr>
          <w:p w14:paraId="41D61D57" w14:textId="40B02531" w:rsidR="00571BBE" w:rsidRDefault="00571BBE" w:rsidP="00571BBE">
            <w:r>
              <w:t xml:space="preserve">Dialog om resultater </w:t>
            </w:r>
          </w:p>
        </w:tc>
        <w:tc>
          <w:tcPr>
            <w:tcW w:w="3695" w:type="dxa"/>
          </w:tcPr>
          <w:p w14:paraId="4E30627A" w14:textId="1EC5341A" w:rsidR="00571BBE" w:rsidRDefault="00E132A1" w:rsidP="00571BBE">
            <w:r>
              <w:t>Uge 45-</w:t>
            </w:r>
            <w:r w:rsidR="00571BBE">
              <w:t>46</w:t>
            </w:r>
          </w:p>
        </w:tc>
      </w:tr>
      <w:tr w:rsidR="00571BBE" w14:paraId="41B8B7A2" w14:textId="77777777" w:rsidTr="00571BBE">
        <w:tc>
          <w:tcPr>
            <w:tcW w:w="3694" w:type="dxa"/>
          </w:tcPr>
          <w:p w14:paraId="2176B4BC" w14:textId="1A2738CB" w:rsidR="00571BBE" w:rsidRDefault="00571BBE" w:rsidP="00571BBE">
            <w:r>
              <w:t>Offentliggørelse af rapport</w:t>
            </w:r>
          </w:p>
        </w:tc>
        <w:tc>
          <w:tcPr>
            <w:tcW w:w="3695" w:type="dxa"/>
          </w:tcPr>
          <w:p w14:paraId="6200548E" w14:textId="4BAB1DF5" w:rsidR="00571BBE" w:rsidRDefault="00571BBE" w:rsidP="00571BBE">
            <w:r>
              <w:t>Uge 47-48</w:t>
            </w:r>
          </w:p>
        </w:tc>
      </w:tr>
    </w:tbl>
    <w:p w14:paraId="3CC5842B" w14:textId="24C57D57" w:rsidR="00571BBE" w:rsidRDefault="00571BBE" w:rsidP="00571BBE"/>
    <w:p w14:paraId="3C76A7BA" w14:textId="16C65D4C" w:rsidR="001043E0" w:rsidRPr="001043E0" w:rsidRDefault="001043E0" w:rsidP="001043E0">
      <w:r w:rsidRPr="003B528E">
        <w:t>Opg</w:t>
      </w:r>
      <w:r>
        <w:t xml:space="preserve">aveløsningen forventes overleveret skriftligt til Energistyrelsen </w:t>
      </w:r>
      <w:r w:rsidRPr="00920FF8">
        <w:t>senest</w:t>
      </w:r>
      <w:r w:rsidRPr="003B528E">
        <w:t xml:space="preserve"> </w:t>
      </w:r>
      <w:r w:rsidRPr="000443D2">
        <w:rPr>
          <w:b/>
        </w:rPr>
        <w:t>d.</w:t>
      </w:r>
      <w:r>
        <w:t xml:space="preserve"> </w:t>
      </w:r>
      <w:r>
        <w:rPr>
          <w:b/>
        </w:rPr>
        <w:t>30</w:t>
      </w:r>
      <w:r w:rsidRPr="00920FF8">
        <w:rPr>
          <w:b/>
        </w:rPr>
        <w:t xml:space="preserve">. </w:t>
      </w:r>
      <w:r>
        <w:rPr>
          <w:b/>
        </w:rPr>
        <w:t>november</w:t>
      </w:r>
      <w:r w:rsidRPr="00920FF8">
        <w:rPr>
          <w:b/>
        </w:rPr>
        <w:t xml:space="preserve"> 2021</w:t>
      </w:r>
      <w:r w:rsidRPr="003B528E">
        <w:t xml:space="preserve">, hvorefter der </w:t>
      </w:r>
      <w:r>
        <w:t xml:space="preserve">i den efterfølgende uge </w:t>
      </w:r>
      <w:r w:rsidRPr="003B528E">
        <w:t>afholdes et møde</w:t>
      </w:r>
      <w:r>
        <w:t>,</w:t>
      </w:r>
      <w:r w:rsidRPr="003B528E">
        <w:t xml:space="preserve"> hvor </w:t>
      </w:r>
      <w:r>
        <w:t>resultaterne præsenteres</w:t>
      </w:r>
      <w:r w:rsidRPr="003B528E">
        <w:t>.</w:t>
      </w:r>
    </w:p>
    <w:p w14:paraId="78606CCD" w14:textId="65DC21EA" w:rsidR="00251AAE" w:rsidRPr="00B163FC" w:rsidRDefault="00251AAE" w:rsidP="00437D36">
      <w:pPr>
        <w:rPr>
          <w:szCs w:val="20"/>
        </w:rPr>
      </w:pPr>
    </w:p>
    <w:sectPr w:rsidR="00251AAE" w:rsidRPr="00B163FC" w:rsidSect="000A08E2">
      <w:headerReference w:type="default" r:id="rId11"/>
      <w:footerReference w:type="default" r:id="rId12"/>
      <w:headerReference w:type="first" r:id="rId13"/>
      <w:footerReference w:type="first" r:id="rId14"/>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793BA" w14:textId="77777777" w:rsidR="00F517DD" w:rsidRDefault="00F517DD" w:rsidP="008969C1">
      <w:pPr>
        <w:spacing w:line="240" w:lineRule="auto"/>
      </w:pPr>
      <w:r>
        <w:separator/>
      </w:r>
    </w:p>
  </w:endnote>
  <w:endnote w:type="continuationSeparator" w:id="0">
    <w:p w14:paraId="40045859" w14:textId="77777777" w:rsidR="00F517DD" w:rsidRDefault="00F517DD"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F5C3E" w14:textId="7E95CF06" w:rsidR="008969C1" w:rsidRPr="002A4EDA" w:rsidRDefault="008969C1">
    <w:pPr>
      <w:pStyle w:val="Sidefod"/>
    </w:pPr>
    <w:r w:rsidRPr="002A4EDA">
      <w:t xml:space="preserve">Side </w:t>
    </w:r>
    <w:r w:rsidRPr="002A4EDA">
      <w:fldChar w:fldCharType="begin"/>
    </w:r>
    <w:r w:rsidRPr="002A4EDA">
      <w:instrText xml:space="preserve"> PAGE </w:instrText>
    </w:r>
    <w:r w:rsidRPr="002A4EDA">
      <w:fldChar w:fldCharType="separate"/>
    </w:r>
    <w:r w:rsidR="00E02D8F">
      <w:rPr>
        <w:noProof/>
      </w:rPr>
      <w:t>2</w:t>
    </w:r>
    <w:r w:rsidRPr="002A4EDA">
      <w:fldChar w:fldCharType="end"/>
    </w:r>
    <w:r w:rsidRPr="002A4EDA">
      <w:t>/</w:t>
    </w:r>
    <w:r w:rsidR="00F517DD">
      <w:fldChar w:fldCharType="begin"/>
    </w:r>
    <w:r w:rsidR="00F517DD">
      <w:instrText xml:space="preserve"> NUMPAGES </w:instrText>
    </w:r>
    <w:r w:rsidR="00F517DD">
      <w:fldChar w:fldCharType="separate"/>
    </w:r>
    <w:r w:rsidR="00E02D8F">
      <w:rPr>
        <w:noProof/>
      </w:rPr>
      <w:t>6</w:t>
    </w:r>
    <w:r w:rsidR="00F517D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5DE91" w14:textId="66E3208B" w:rsidR="008969C1" w:rsidRPr="002A4EDA" w:rsidRDefault="00BA0FCB">
    <w:pPr>
      <w:pStyle w:val="Sidefod"/>
    </w:pPr>
    <w:r w:rsidRPr="002A4EDA">
      <w:rPr>
        <w:noProof/>
        <w:lang w:eastAsia="da-DK"/>
      </w:rPr>
      <mc:AlternateContent>
        <mc:Choice Requires="wps">
          <w:drawing>
            <wp:anchor distT="0" distB="0" distL="114300" distR="114300" simplePos="0" relativeHeight="251659264" behindDoc="0" locked="0" layoutInCell="1" allowOverlap="1" wp14:anchorId="2A7037A7" wp14:editId="2E13C9E6">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ECA4DB" w14:textId="77777777" w:rsidR="00DA7419" w:rsidRDefault="00110084" w:rsidP="003B7D18">
                          <w:pPr>
                            <w:spacing w:line="192" w:lineRule="atLeast"/>
                            <w:rPr>
                              <w:b/>
                              <w:sz w:val="16"/>
                              <w:szCs w:val="16"/>
                            </w:rPr>
                          </w:pPr>
                          <w:r w:rsidRPr="00110084">
                            <w:rPr>
                              <w:b/>
                              <w:sz w:val="16"/>
                              <w:szCs w:val="16"/>
                            </w:rPr>
                            <w:t>Energistyrelsen</w:t>
                          </w:r>
                        </w:p>
                        <w:p w14:paraId="597D6396" w14:textId="77777777" w:rsidR="00AB4885" w:rsidRPr="00AB4885" w:rsidRDefault="00AB4885" w:rsidP="00F714AB">
                          <w:pPr>
                            <w:spacing w:line="192" w:lineRule="atLeast"/>
                            <w:rPr>
                              <w:sz w:val="16"/>
                              <w:szCs w:val="16"/>
                            </w:rPr>
                          </w:pPr>
                        </w:p>
                        <w:p w14:paraId="3A625F43" w14:textId="77777777" w:rsidR="00A53376" w:rsidRDefault="00A53376" w:rsidP="00F714AB">
                          <w:pPr>
                            <w:spacing w:line="192" w:lineRule="atLeast"/>
                            <w:rPr>
                              <w:sz w:val="16"/>
                              <w:szCs w:val="16"/>
                            </w:rPr>
                          </w:pPr>
                          <w:r>
                            <w:rPr>
                              <w:sz w:val="16"/>
                              <w:szCs w:val="16"/>
                            </w:rPr>
                            <w:t>Carsten Niebuhrs Gade 43</w:t>
                          </w:r>
                        </w:p>
                        <w:p w14:paraId="6AED6B26" w14:textId="77777777" w:rsidR="00A53376" w:rsidRDefault="00A53376" w:rsidP="00F714AB">
                          <w:pPr>
                            <w:spacing w:line="192" w:lineRule="atLeast"/>
                            <w:rPr>
                              <w:sz w:val="16"/>
                              <w:szCs w:val="16"/>
                            </w:rPr>
                          </w:pPr>
                          <w:r>
                            <w:rPr>
                              <w:sz w:val="16"/>
                              <w:szCs w:val="16"/>
                            </w:rPr>
                            <w:t>1577 København V</w:t>
                          </w:r>
                        </w:p>
                        <w:p w14:paraId="31347A88" w14:textId="77777777" w:rsidR="00A53376" w:rsidRPr="00F714AB" w:rsidRDefault="00A53376" w:rsidP="00F714AB">
                          <w:pPr>
                            <w:spacing w:line="192" w:lineRule="atLeast"/>
                            <w:rPr>
                              <w:sz w:val="16"/>
                              <w:szCs w:val="16"/>
                            </w:rPr>
                          </w:pPr>
                        </w:p>
                        <w:p w14:paraId="454D7245" w14:textId="77777777" w:rsidR="00110084" w:rsidRPr="00280F86" w:rsidRDefault="00110084" w:rsidP="00110084">
                          <w:pPr>
                            <w:spacing w:line="192" w:lineRule="atLeast"/>
                            <w:rPr>
                              <w:sz w:val="16"/>
                              <w:szCs w:val="16"/>
                              <w:lang w:val="de-DE"/>
                            </w:rPr>
                          </w:pPr>
                          <w:r w:rsidRPr="00280F86">
                            <w:rPr>
                              <w:sz w:val="16"/>
                              <w:szCs w:val="16"/>
                              <w:lang w:val="de-DE"/>
                            </w:rPr>
                            <w:t>T: +45 3392 6700</w:t>
                          </w:r>
                        </w:p>
                        <w:p w14:paraId="4725AA1E" w14:textId="77777777" w:rsidR="00DA7419" w:rsidRPr="00280F86" w:rsidRDefault="00110084" w:rsidP="00110084">
                          <w:pPr>
                            <w:spacing w:line="192" w:lineRule="atLeast"/>
                            <w:rPr>
                              <w:sz w:val="16"/>
                              <w:szCs w:val="16"/>
                              <w:lang w:val="de-DE"/>
                            </w:rPr>
                          </w:pPr>
                          <w:r w:rsidRPr="00280F86">
                            <w:rPr>
                              <w:sz w:val="16"/>
                              <w:szCs w:val="16"/>
                              <w:lang w:val="de-DE"/>
                            </w:rPr>
                            <w:t>E: ens@ens.dk</w:t>
                          </w:r>
                        </w:p>
                        <w:p w14:paraId="0AFC0DB4" w14:textId="77777777" w:rsidR="00AB4885" w:rsidRPr="00280F86" w:rsidRDefault="00AB4885" w:rsidP="00F714AB">
                          <w:pPr>
                            <w:spacing w:line="192" w:lineRule="atLeast"/>
                            <w:rPr>
                              <w:sz w:val="16"/>
                              <w:szCs w:val="16"/>
                              <w:lang w:val="de-DE"/>
                            </w:rPr>
                          </w:pPr>
                        </w:p>
                        <w:p w14:paraId="02A66CD7" w14:textId="77777777" w:rsidR="00DA7419" w:rsidRPr="00280F86" w:rsidRDefault="005340A7" w:rsidP="00F714AB">
                          <w:pPr>
                            <w:spacing w:line="192" w:lineRule="atLeast"/>
                            <w:rPr>
                              <w:sz w:val="16"/>
                              <w:szCs w:val="16"/>
                              <w:lang w:val="de-DE"/>
                            </w:rPr>
                          </w:pPr>
                          <w:r w:rsidRPr="00280F86">
                            <w:rPr>
                              <w:sz w:val="16"/>
                              <w:szCs w:val="16"/>
                              <w:lang w:val="de-DE"/>
                            </w:rPr>
                            <w:t>www.</w:t>
                          </w:r>
                          <w:r w:rsidR="00110084" w:rsidRPr="00280F86">
                            <w:rPr>
                              <w:sz w:val="16"/>
                              <w:szCs w:val="16"/>
                              <w:lang w:val="de-DE"/>
                            </w:rPr>
                            <w:t>ens</w:t>
                          </w:r>
                          <w:r w:rsidR="00DA7419" w:rsidRPr="00280F86">
                            <w:rPr>
                              <w:sz w:val="16"/>
                              <w:szCs w:val="16"/>
                              <w:lang w:val="de-DE"/>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037A7"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14:paraId="68ECA4DB" w14:textId="77777777" w:rsidR="00DA7419" w:rsidRDefault="00110084" w:rsidP="003B7D18">
                    <w:pPr>
                      <w:spacing w:line="192" w:lineRule="atLeast"/>
                      <w:rPr>
                        <w:b/>
                        <w:sz w:val="16"/>
                        <w:szCs w:val="16"/>
                      </w:rPr>
                    </w:pPr>
                    <w:r w:rsidRPr="00110084">
                      <w:rPr>
                        <w:b/>
                        <w:sz w:val="16"/>
                        <w:szCs w:val="16"/>
                      </w:rPr>
                      <w:t>Energistyrelsen</w:t>
                    </w:r>
                  </w:p>
                  <w:p w14:paraId="597D6396" w14:textId="77777777" w:rsidR="00AB4885" w:rsidRPr="00AB4885" w:rsidRDefault="00AB4885" w:rsidP="00F714AB">
                    <w:pPr>
                      <w:spacing w:line="192" w:lineRule="atLeast"/>
                      <w:rPr>
                        <w:sz w:val="16"/>
                        <w:szCs w:val="16"/>
                      </w:rPr>
                    </w:pPr>
                  </w:p>
                  <w:p w14:paraId="3A625F43" w14:textId="77777777" w:rsidR="00A53376" w:rsidRDefault="00A53376" w:rsidP="00F714AB">
                    <w:pPr>
                      <w:spacing w:line="192" w:lineRule="atLeast"/>
                      <w:rPr>
                        <w:sz w:val="16"/>
                        <w:szCs w:val="16"/>
                      </w:rPr>
                    </w:pPr>
                    <w:r>
                      <w:rPr>
                        <w:sz w:val="16"/>
                        <w:szCs w:val="16"/>
                      </w:rPr>
                      <w:t>Carsten Niebuhrs Gade 43</w:t>
                    </w:r>
                  </w:p>
                  <w:p w14:paraId="6AED6B26" w14:textId="77777777" w:rsidR="00A53376" w:rsidRDefault="00A53376" w:rsidP="00F714AB">
                    <w:pPr>
                      <w:spacing w:line="192" w:lineRule="atLeast"/>
                      <w:rPr>
                        <w:sz w:val="16"/>
                        <w:szCs w:val="16"/>
                      </w:rPr>
                    </w:pPr>
                    <w:r>
                      <w:rPr>
                        <w:sz w:val="16"/>
                        <w:szCs w:val="16"/>
                      </w:rPr>
                      <w:t>1577 København V</w:t>
                    </w:r>
                  </w:p>
                  <w:p w14:paraId="31347A88" w14:textId="77777777" w:rsidR="00A53376" w:rsidRPr="00F714AB" w:rsidRDefault="00A53376" w:rsidP="00F714AB">
                    <w:pPr>
                      <w:spacing w:line="192" w:lineRule="atLeast"/>
                      <w:rPr>
                        <w:sz w:val="16"/>
                        <w:szCs w:val="16"/>
                      </w:rPr>
                    </w:pPr>
                  </w:p>
                  <w:p w14:paraId="454D7245" w14:textId="77777777" w:rsidR="00110084" w:rsidRPr="00280F86" w:rsidRDefault="00110084" w:rsidP="00110084">
                    <w:pPr>
                      <w:spacing w:line="192" w:lineRule="atLeast"/>
                      <w:rPr>
                        <w:sz w:val="16"/>
                        <w:szCs w:val="16"/>
                        <w:lang w:val="de-DE"/>
                      </w:rPr>
                    </w:pPr>
                    <w:r w:rsidRPr="00280F86">
                      <w:rPr>
                        <w:sz w:val="16"/>
                        <w:szCs w:val="16"/>
                        <w:lang w:val="de-DE"/>
                      </w:rPr>
                      <w:t>T: +45 3392 6700</w:t>
                    </w:r>
                  </w:p>
                  <w:p w14:paraId="4725AA1E" w14:textId="77777777" w:rsidR="00DA7419" w:rsidRPr="00280F86" w:rsidRDefault="00110084" w:rsidP="00110084">
                    <w:pPr>
                      <w:spacing w:line="192" w:lineRule="atLeast"/>
                      <w:rPr>
                        <w:sz w:val="16"/>
                        <w:szCs w:val="16"/>
                        <w:lang w:val="de-DE"/>
                      </w:rPr>
                    </w:pPr>
                    <w:r w:rsidRPr="00280F86">
                      <w:rPr>
                        <w:sz w:val="16"/>
                        <w:szCs w:val="16"/>
                        <w:lang w:val="de-DE"/>
                      </w:rPr>
                      <w:t>E: ens@ens.dk</w:t>
                    </w:r>
                  </w:p>
                  <w:p w14:paraId="0AFC0DB4" w14:textId="77777777" w:rsidR="00AB4885" w:rsidRPr="00280F86" w:rsidRDefault="00AB4885" w:rsidP="00F714AB">
                    <w:pPr>
                      <w:spacing w:line="192" w:lineRule="atLeast"/>
                      <w:rPr>
                        <w:sz w:val="16"/>
                        <w:szCs w:val="16"/>
                        <w:lang w:val="de-DE"/>
                      </w:rPr>
                    </w:pPr>
                  </w:p>
                  <w:p w14:paraId="02A66CD7" w14:textId="77777777" w:rsidR="00DA7419" w:rsidRPr="00280F86" w:rsidRDefault="005340A7" w:rsidP="00F714AB">
                    <w:pPr>
                      <w:spacing w:line="192" w:lineRule="atLeast"/>
                      <w:rPr>
                        <w:sz w:val="16"/>
                        <w:szCs w:val="16"/>
                        <w:lang w:val="de-DE"/>
                      </w:rPr>
                    </w:pPr>
                    <w:r w:rsidRPr="00280F86">
                      <w:rPr>
                        <w:sz w:val="16"/>
                        <w:szCs w:val="16"/>
                        <w:lang w:val="de-DE"/>
                      </w:rPr>
                      <w:t>www.</w:t>
                    </w:r>
                    <w:r w:rsidR="00110084" w:rsidRPr="00280F86">
                      <w:rPr>
                        <w:sz w:val="16"/>
                        <w:szCs w:val="16"/>
                        <w:lang w:val="de-DE"/>
                      </w:rPr>
                      <w:t>ens</w:t>
                    </w:r>
                    <w:r w:rsidR="00DA7419" w:rsidRPr="00280F86">
                      <w:rPr>
                        <w:sz w:val="16"/>
                        <w:szCs w:val="16"/>
                        <w:lang w:val="de-DE"/>
                      </w:rPr>
                      <w:t>.dk</w:t>
                    </w:r>
                  </w:p>
                </w:txbxContent>
              </v:textbox>
              <w10:wrap anchorx="page" anchory="page"/>
            </v:shape>
          </w:pict>
        </mc:Fallback>
      </mc:AlternateContent>
    </w:r>
    <w:r w:rsidR="008969C1" w:rsidRPr="002A4EDA">
      <w:t xml:space="preserve">Side </w:t>
    </w:r>
    <w:r w:rsidR="008969C1" w:rsidRPr="002A4EDA">
      <w:fldChar w:fldCharType="begin"/>
    </w:r>
    <w:r w:rsidR="008969C1" w:rsidRPr="002A4EDA">
      <w:instrText xml:space="preserve"> PAGE </w:instrText>
    </w:r>
    <w:r w:rsidR="008969C1" w:rsidRPr="002A4EDA">
      <w:fldChar w:fldCharType="separate"/>
    </w:r>
    <w:r w:rsidR="00E02D8F">
      <w:rPr>
        <w:noProof/>
      </w:rPr>
      <w:t>1</w:t>
    </w:r>
    <w:r w:rsidR="008969C1" w:rsidRPr="002A4EDA">
      <w:fldChar w:fldCharType="end"/>
    </w:r>
    <w:r w:rsidR="008969C1" w:rsidRPr="002A4EDA">
      <w:t>/</w:t>
    </w:r>
    <w:r w:rsidR="00F517DD">
      <w:fldChar w:fldCharType="begin"/>
    </w:r>
    <w:r w:rsidR="00F517DD">
      <w:instrText xml:space="preserve"> NUMPAGES </w:instrText>
    </w:r>
    <w:r w:rsidR="00F517DD">
      <w:fldChar w:fldCharType="separate"/>
    </w:r>
    <w:r w:rsidR="00E02D8F">
      <w:rPr>
        <w:noProof/>
      </w:rPr>
      <w:t>6</w:t>
    </w:r>
    <w:r w:rsidR="00F517D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E3380" w14:textId="77777777" w:rsidR="00F517DD" w:rsidRDefault="00F517DD" w:rsidP="008969C1">
      <w:pPr>
        <w:spacing w:line="240" w:lineRule="auto"/>
      </w:pPr>
      <w:r>
        <w:separator/>
      </w:r>
    </w:p>
  </w:footnote>
  <w:footnote w:type="continuationSeparator" w:id="0">
    <w:p w14:paraId="57B7964B" w14:textId="77777777" w:rsidR="00F517DD" w:rsidRDefault="00F517DD" w:rsidP="008969C1">
      <w:pPr>
        <w:spacing w:line="240" w:lineRule="auto"/>
      </w:pPr>
      <w:r>
        <w:continuationSeparator/>
      </w:r>
    </w:p>
  </w:footnote>
  <w:footnote w:id="1">
    <w:p w14:paraId="6DED555E" w14:textId="77777777" w:rsidR="00437D36" w:rsidRDefault="00437D36" w:rsidP="00437D36">
      <w:pPr>
        <w:pStyle w:val="Fodnotetekst"/>
      </w:pPr>
      <w:r>
        <w:rPr>
          <w:rStyle w:val="Fodnotehenvisning"/>
        </w:rPr>
        <w:footnoteRef/>
      </w:r>
      <w:r>
        <w:t xml:space="preserve"> </w:t>
      </w:r>
      <w:r w:rsidRPr="0091079B">
        <w:t>https://www.kl.dk/kommunale-opgaver/klima/kommunerne-tager-klimalederskab/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9673" w14:textId="77777777" w:rsidR="008969C1" w:rsidRDefault="00804D82">
    <w:pPr>
      <w:pStyle w:val="Sidehoved"/>
    </w:pPr>
    <w:r>
      <w:rPr>
        <w:noProof/>
        <w:lang w:eastAsia="da-DK"/>
      </w:rPr>
      <w:drawing>
        <wp:anchor distT="0" distB="0" distL="114300" distR="114300" simplePos="0" relativeHeight="251675648" behindDoc="0" locked="0" layoutInCell="1" allowOverlap="1" wp14:anchorId="7B7B95E7" wp14:editId="4F32C0D8">
          <wp:simplePos x="0" y="0"/>
          <wp:positionH relativeFrom="page">
            <wp:posOffset>4842510</wp:posOffset>
          </wp:positionH>
          <wp:positionV relativeFrom="page">
            <wp:posOffset>396240</wp:posOffset>
          </wp:positionV>
          <wp:extent cx="2041200" cy="694800"/>
          <wp:effectExtent l="0" t="0" r="0" b="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65D19" w14:textId="77777777" w:rsidR="005E3FC3" w:rsidRDefault="004A0CFD">
    <w:pPr>
      <w:pStyle w:val="Sidehoved"/>
    </w:pPr>
    <w:r>
      <w:rPr>
        <w:b/>
        <w:noProof/>
        <w:lang w:eastAsia="da-DK"/>
      </w:rPr>
      <w:drawing>
        <wp:anchor distT="0" distB="0" distL="114300" distR="114300" simplePos="0" relativeHeight="251676672" behindDoc="0" locked="0" layoutInCell="1" allowOverlap="1" wp14:anchorId="691CF71B" wp14:editId="1740C271">
          <wp:simplePos x="0" y="0"/>
          <wp:positionH relativeFrom="column">
            <wp:posOffset>4253830</wp:posOffset>
          </wp:positionH>
          <wp:positionV relativeFrom="paragraph">
            <wp:posOffset>146050</wp:posOffset>
          </wp:positionV>
          <wp:extent cx="1878965" cy="705485"/>
          <wp:effectExtent l="0" t="0" r="6985"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K_uden_transparens.png"/>
                  <pic:cNvPicPr/>
                </pic:nvPicPr>
                <pic:blipFill>
                  <a:blip r:embed="rId1">
                    <a:extLst>
                      <a:ext uri="{28A0092B-C50C-407E-A947-70E740481C1C}">
                        <a14:useLocalDpi xmlns:a14="http://schemas.microsoft.com/office/drawing/2010/main" val="0"/>
                      </a:ext>
                    </a:extLst>
                  </a:blip>
                  <a:stretch>
                    <a:fillRect/>
                  </a:stretch>
                </pic:blipFill>
                <pic:spPr>
                  <a:xfrm>
                    <a:off x="0" y="0"/>
                    <a:ext cx="1878965" cy="705485"/>
                  </a:xfrm>
                  <a:prstGeom prst="rect">
                    <a:avLst/>
                  </a:prstGeom>
                </pic:spPr>
              </pic:pic>
            </a:graphicData>
          </a:graphic>
          <wp14:sizeRelH relativeFrom="margin">
            <wp14:pctWidth>0</wp14:pctWidth>
          </wp14:sizeRelH>
          <wp14:sizeRelV relativeFrom="margin">
            <wp14:pctHeight>0</wp14:pctHeight>
          </wp14:sizeRelV>
        </wp:anchor>
      </w:drawing>
    </w:r>
  </w:p>
  <w:p w14:paraId="7FEE54BB" w14:textId="77777777" w:rsidR="008969C1" w:rsidRPr="005E3FC3" w:rsidRDefault="005E3FC3">
    <w:pPr>
      <w:pStyle w:val="Sidehoved"/>
      <w:rPr>
        <w:b/>
      </w:rPr>
    </w:pPr>
    <w:r w:rsidRPr="005E3FC3">
      <w:rPr>
        <w:b/>
        <w:noProof/>
        <w:lang w:eastAsia="da-D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3DE0"/>
    <w:multiLevelType w:val="multilevel"/>
    <w:tmpl w:val="B198821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90100A0"/>
    <w:multiLevelType w:val="hybridMultilevel"/>
    <w:tmpl w:val="BEBA7404"/>
    <w:lvl w:ilvl="0" w:tplc="F09E6FFE">
      <w:start w:val="2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327ED0"/>
    <w:multiLevelType w:val="hybridMultilevel"/>
    <w:tmpl w:val="DD3AB3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D1F4634"/>
    <w:multiLevelType w:val="hybridMultilevel"/>
    <w:tmpl w:val="E7B49A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79465D2"/>
    <w:multiLevelType w:val="hybridMultilevel"/>
    <w:tmpl w:val="6D12C6F4"/>
    <w:lvl w:ilvl="0" w:tplc="D2EEA132">
      <w:start w:val="127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0145CCD"/>
    <w:multiLevelType w:val="hybridMultilevel"/>
    <w:tmpl w:val="000646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60F4897"/>
    <w:multiLevelType w:val="hybridMultilevel"/>
    <w:tmpl w:val="2D94EA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2F46FB2"/>
    <w:multiLevelType w:val="hybridMultilevel"/>
    <w:tmpl w:val="8A3E08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6F1045C"/>
    <w:multiLevelType w:val="hybridMultilevel"/>
    <w:tmpl w:val="2526658A"/>
    <w:lvl w:ilvl="0" w:tplc="9AB0EB7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7C1B1E"/>
    <w:multiLevelType w:val="hybridMultilevel"/>
    <w:tmpl w:val="D3AE77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ED879A5"/>
    <w:multiLevelType w:val="hybridMultilevel"/>
    <w:tmpl w:val="F524303A"/>
    <w:lvl w:ilvl="0" w:tplc="E292757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10"/>
  </w:num>
  <w:num w:numId="6">
    <w:abstractNumId w:val="4"/>
  </w:num>
  <w:num w:numId="7">
    <w:abstractNumId w:val="9"/>
  </w:num>
  <w:num w:numId="8">
    <w:abstractNumId w:val="5"/>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AF"/>
    <w:rsid w:val="0001741B"/>
    <w:rsid w:val="00022817"/>
    <w:rsid w:val="00036061"/>
    <w:rsid w:val="00042FBB"/>
    <w:rsid w:val="00065C74"/>
    <w:rsid w:val="00086163"/>
    <w:rsid w:val="000A015F"/>
    <w:rsid w:val="000A08E2"/>
    <w:rsid w:val="000C3E3B"/>
    <w:rsid w:val="000E0BF4"/>
    <w:rsid w:val="001043C5"/>
    <w:rsid w:val="001043E0"/>
    <w:rsid w:val="00110084"/>
    <w:rsid w:val="0011573F"/>
    <w:rsid w:val="00116521"/>
    <w:rsid w:val="001275ED"/>
    <w:rsid w:val="00140C61"/>
    <w:rsid w:val="00147A43"/>
    <w:rsid w:val="00164D3D"/>
    <w:rsid w:val="001C0E44"/>
    <w:rsid w:val="001D59EC"/>
    <w:rsid w:val="001E4809"/>
    <w:rsid w:val="00220A8E"/>
    <w:rsid w:val="00225FD7"/>
    <w:rsid w:val="00251AAE"/>
    <w:rsid w:val="002611C9"/>
    <w:rsid w:val="0027768F"/>
    <w:rsid w:val="00280F86"/>
    <w:rsid w:val="002861AB"/>
    <w:rsid w:val="00296E6F"/>
    <w:rsid w:val="002A4EDA"/>
    <w:rsid w:val="002C135B"/>
    <w:rsid w:val="002F50D5"/>
    <w:rsid w:val="00301425"/>
    <w:rsid w:val="00313538"/>
    <w:rsid w:val="0034007A"/>
    <w:rsid w:val="00347BCC"/>
    <w:rsid w:val="00352DBE"/>
    <w:rsid w:val="00373B48"/>
    <w:rsid w:val="003B31EC"/>
    <w:rsid w:val="003B5DBB"/>
    <w:rsid w:val="003B7D18"/>
    <w:rsid w:val="004129C4"/>
    <w:rsid w:val="00413E19"/>
    <w:rsid w:val="00437D36"/>
    <w:rsid w:val="004456A7"/>
    <w:rsid w:val="00447D68"/>
    <w:rsid w:val="004704DA"/>
    <w:rsid w:val="0049162D"/>
    <w:rsid w:val="004957C1"/>
    <w:rsid w:val="004A0CFD"/>
    <w:rsid w:val="004B47AA"/>
    <w:rsid w:val="004B53D4"/>
    <w:rsid w:val="004C3214"/>
    <w:rsid w:val="004D5CFB"/>
    <w:rsid w:val="004E708C"/>
    <w:rsid w:val="004E7E8A"/>
    <w:rsid w:val="004F5C81"/>
    <w:rsid w:val="00502AFB"/>
    <w:rsid w:val="005231F6"/>
    <w:rsid w:val="00527652"/>
    <w:rsid w:val="005340A7"/>
    <w:rsid w:val="00546F36"/>
    <w:rsid w:val="00562354"/>
    <w:rsid w:val="00571BBE"/>
    <w:rsid w:val="00583115"/>
    <w:rsid w:val="005C371B"/>
    <w:rsid w:val="005D6120"/>
    <w:rsid w:val="005D75A4"/>
    <w:rsid w:val="005E0604"/>
    <w:rsid w:val="005E0FBC"/>
    <w:rsid w:val="005E3FC3"/>
    <w:rsid w:val="005F227E"/>
    <w:rsid w:val="006114BE"/>
    <w:rsid w:val="00614BF7"/>
    <w:rsid w:val="006202F5"/>
    <w:rsid w:val="00665F29"/>
    <w:rsid w:val="0066766F"/>
    <w:rsid w:val="00667FF1"/>
    <w:rsid w:val="006803EB"/>
    <w:rsid w:val="00682D8C"/>
    <w:rsid w:val="006B3A94"/>
    <w:rsid w:val="006B7F4C"/>
    <w:rsid w:val="006D6210"/>
    <w:rsid w:val="006E691D"/>
    <w:rsid w:val="006F68CC"/>
    <w:rsid w:val="00721870"/>
    <w:rsid w:val="00723333"/>
    <w:rsid w:val="00734C21"/>
    <w:rsid w:val="007636C2"/>
    <w:rsid w:val="007B75E6"/>
    <w:rsid w:val="007D4141"/>
    <w:rsid w:val="007D7217"/>
    <w:rsid w:val="007F3CA3"/>
    <w:rsid w:val="00800E2B"/>
    <w:rsid w:val="00802C9E"/>
    <w:rsid w:val="00804D82"/>
    <w:rsid w:val="008176EC"/>
    <w:rsid w:val="00827660"/>
    <w:rsid w:val="0083028F"/>
    <w:rsid w:val="008959BC"/>
    <w:rsid w:val="008969C1"/>
    <w:rsid w:val="008B405B"/>
    <w:rsid w:val="008D07E8"/>
    <w:rsid w:val="008D33AD"/>
    <w:rsid w:val="008E3EE5"/>
    <w:rsid w:val="008F2666"/>
    <w:rsid w:val="00923F35"/>
    <w:rsid w:val="009409A9"/>
    <w:rsid w:val="00966560"/>
    <w:rsid w:val="00996E78"/>
    <w:rsid w:val="009C367E"/>
    <w:rsid w:val="009D3FB5"/>
    <w:rsid w:val="009D7E23"/>
    <w:rsid w:val="00A137D1"/>
    <w:rsid w:val="00A34698"/>
    <w:rsid w:val="00A46851"/>
    <w:rsid w:val="00A47A11"/>
    <w:rsid w:val="00A53376"/>
    <w:rsid w:val="00A53C43"/>
    <w:rsid w:val="00A67434"/>
    <w:rsid w:val="00A74DB7"/>
    <w:rsid w:val="00A839AF"/>
    <w:rsid w:val="00A9284C"/>
    <w:rsid w:val="00AB4885"/>
    <w:rsid w:val="00AC331B"/>
    <w:rsid w:val="00AC60EA"/>
    <w:rsid w:val="00AE5CCF"/>
    <w:rsid w:val="00B064C7"/>
    <w:rsid w:val="00B129AE"/>
    <w:rsid w:val="00B12E08"/>
    <w:rsid w:val="00B1566A"/>
    <w:rsid w:val="00B163FC"/>
    <w:rsid w:val="00B2220D"/>
    <w:rsid w:val="00B536E9"/>
    <w:rsid w:val="00B53980"/>
    <w:rsid w:val="00B64D05"/>
    <w:rsid w:val="00B84F1A"/>
    <w:rsid w:val="00B85DFB"/>
    <w:rsid w:val="00BA0FCB"/>
    <w:rsid w:val="00BA4188"/>
    <w:rsid w:val="00BC0B2C"/>
    <w:rsid w:val="00BC1C56"/>
    <w:rsid w:val="00BD2772"/>
    <w:rsid w:val="00BE2E27"/>
    <w:rsid w:val="00C20E5C"/>
    <w:rsid w:val="00C21BC5"/>
    <w:rsid w:val="00C4750C"/>
    <w:rsid w:val="00C651CC"/>
    <w:rsid w:val="00C71817"/>
    <w:rsid w:val="00C76EC2"/>
    <w:rsid w:val="00CB3A7C"/>
    <w:rsid w:val="00CC1415"/>
    <w:rsid w:val="00CD48B3"/>
    <w:rsid w:val="00D1257F"/>
    <w:rsid w:val="00D12E7B"/>
    <w:rsid w:val="00D15A0C"/>
    <w:rsid w:val="00D357CF"/>
    <w:rsid w:val="00D534F6"/>
    <w:rsid w:val="00D93447"/>
    <w:rsid w:val="00DA7419"/>
    <w:rsid w:val="00DC2214"/>
    <w:rsid w:val="00DD1186"/>
    <w:rsid w:val="00DE0419"/>
    <w:rsid w:val="00DF6ED7"/>
    <w:rsid w:val="00DF757B"/>
    <w:rsid w:val="00E02D8F"/>
    <w:rsid w:val="00E132A1"/>
    <w:rsid w:val="00E452E8"/>
    <w:rsid w:val="00E65202"/>
    <w:rsid w:val="00E823A2"/>
    <w:rsid w:val="00EC6FEF"/>
    <w:rsid w:val="00ED066E"/>
    <w:rsid w:val="00EE1F89"/>
    <w:rsid w:val="00EE6055"/>
    <w:rsid w:val="00F13EEB"/>
    <w:rsid w:val="00F3314C"/>
    <w:rsid w:val="00F517DD"/>
    <w:rsid w:val="00F5516C"/>
    <w:rsid w:val="00F714AB"/>
    <w:rsid w:val="00F94D65"/>
    <w:rsid w:val="00FD78C9"/>
    <w:rsid w:val="00FF2616"/>
    <w:rsid w:val="00FF51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B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uiPriority w:val="9"/>
    <w:qFormat/>
    <w:rsid w:val="007D7217"/>
    <w:pPr>
      <w:keepNext/>
      <w:keepLines/>
      <w:spacing w:before="480"/>
      <w:outlineLvl w:val="0"/>
    </w:pPr>
    <w:rPr>
      <w:rFonts w:asciiTheme="majorHAnsi" w:eastAsiaTheme="majorEastAsia" w:hAnsiTheme="majorHAnsi" w:cstheme="majorBidi"/>
      <w:b/>
      <w:bCs/>
      <w:color w:val="00707D" w:themeColor="accent1" w:themeShade="BF"/>
      <w:sz w:val="28"/>
      <w:szCs w:val="28"/>
    </w:rPr>
  </w:style>
  <w:style w:type="paragraph" w:styleId="Overskrift2">
    <w:name w:val="heading 2"/>
    <w:basedOn w:val="Normal"/>
    <w:next w:val="Normal"/>
    <w:link w:val="Overskrift2Tegn"/>
    <w:uiPriority w:val="9"/>
    <w:unhideWhenUsed/>
    <w:qFormat/>
    <w:rsid w:val="00CD48B3"/>
    <w:pPr>
      <w:keepNext/>
      <w:keepLines/>
      <w:spacing w:before="200"/>
      <w:outlineLvl w:val="1"/>
    </w:pPr>
    <w:rPr>
      <w:rFonts w:asciiTheme="majorHAnsi" w:eastAsiaTheme="majorEastAsia" w:hAnsiTheme="majorHAnsi" w:cstheme="majorBidi"/>
      <w:b/>
      <w:bCs/>
      <w:color w:val="0097A7" w:themeColor="accent1"/>
      <w:sz w:val="26"/>
      <w:szCs w:val="26"/>
    </w:rPr>
  </w:style>
  <w:style w:type="paragraph" w:styleId="Overskrift3">
    <w:name w:val="heading 3"/>
    <w:basedOn w:val="Normal"/>
    <w:next w:val="Normal"/>
    <w:link w:val="Overskrift3Tegn"/>
    <w:uiPriority w:val="9"/>
    <w:unhideWhenUsed/>
    <w:qFormat/>
    <w:rsid w:val="00CD48B3"/>
    <w:pPr>
      <w:keepNext/>
      <w:keepLines/>
      <w:spacing w:before="200"/>
      <w:outlineLvl w:val="2"/>
    </w:pPr>
    <w:rPr>
      <w:rFonts w:asciiTheme="majorHAnsi" w:eastAsiaTheme="majorEastAsia" w:hAnsiTheme="majorHAnsi" w:cstheme="majorBidi"/>
      <w:b/>
      <w:bCs/>
      <w:color w:val="0097A7"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character" w:customStyle="1" w:styleId="Overskrift2Tegn">
    <w:name w:val="Overskrift 2 Tegn"/>
    <w:basedOn w:val="Standardskrifttypeiafsnit"/>
    <w:link w:val="Overskrift2"/>
    <w:uiPriority w:val="9"/>
    <w:rsid w:val="00CD48B3"/>
    <w:rPr>
      <w:rFonts w:asciiTheme="majorHAnsi" w:eastAsiaTheme="majorEastAsia" w:hAnsiTheme="majorHAnsi" w:cstheme="majorBidi"/>
      <w:b/>
      <w:bCs/>
      <w:color w:val="0097A7" w:themeColor="accent1"/>
      <w:sz w:val="26"/>
      <w:szCs w:val="26"/>
    </w:rPr>
  </w:style>
  <w:style w:type="character" w:customStyle="1" w:styleId="Overskrift3Tegn">
    <w:name w:val="Overskrift 3 Tegn"/>
    <w:basedOn w:val="Standardskrifttypeiafsnit"/>
    <w:link w:val="Overskrift3"/>
    <w:uiPriority w:val="9"/>
    <w:rsid w:val="00CD48B3"/>
    <w:rPr>
      <w:rFonts w:asciiTheme="majorHAnsi" w:eastAsiaTheme="majorEastAsia" w:hAnsiTheme="majorHAnsi" w:cstheme="majorBidi"/>
      <w:b/>
      <w:bCs/>
      <w:color w:val="0097A7" w:themeColor="accent1"/>
      <w:sz w:val="20"/>
    </w:rPr>
  </w:style>
  <w:style w:type="character" w:customStyle="1" w:styleId="Overskrift1Tegn">
    <w:name w:val="Overskrift 1 Tegn"/>
    <w:basedOn w:val="Standardskrifttypeiafsnit"/>
    <w:link w:val="Overskrift1"/>
    <w:uiPriority w:val="9"/>
    <w:rsid w:val="007D7217"/>
    <w:rPr>
      <w:rFonts w:asciiTheme="majorHAnsi" w:eastAsiaTheme="majorEastAsia" w:hAnsiTheme="majorHAnsi" w:cstheme="majorBidi"/>
      <w:b/>
      <w:bCs/>
      <w:color w:val="00707D" w:themeColor="accent1" w:themeShade="BF"/>
      <w:sz w:val="28"/>
      <w:szCs w:val="28"/>
    </w:rPr>
  </w:style>
  <w:style w:type="character" w:styleId="Kommentarhenvisning">
    <w:name w:val="annotation reference"/>
    <w:basedOn w:val="Standardskrifttypeiafsnit"/>
    <w:uiPriority w:val="99"/>
    <w:semiHidden/>
    <w:unhideWhenUsed/>
    <w:rsid w:val="00437D36"/>
    <w:rPr>
      <w:sz w:val="16"/>
      <w:szCs w:val="16"/>
    </w:rPr>
  </w:style>
  <w:style w:type="paragraph" w:styleId="Kommentartekst">
    <w:name w:val="annotation text"/>
    <w:basedOn w:val="Normal"/>
    <w:link w:val="KommentartekstTegn"/>
    <w:uiPriority w:val="99"/>
    <w:unhideWhenUsed/>
    <w:rsid w:val="00437D36"/>
    <w:pPr>
      <w:tabs>
        <w:tab w:val="left" w:pos="567"/>
        <w:tab w:val="left" w:pos="1134"/>
        <w:tab w:val="left" w:pos="1701"/>
      </w:tabs>
      <w:overflowPunct w:val="0"/>
      <w:autoSpaceDE w:val="0"/>
      <w:autoSpaceDN w:val="0"/>
      <w:adjustRightInd w:val="0"/>
      <w:spacing w:line="240" w:lineRule="auto"/>
      <w:jc w:val="both"/>
      <w:textAlignment w:val="baseline"/>
    </w:pPr>
    <w:rPr>
      <w:rFonts w:ascii="Times New Roman" w:eastAsia="Times New Roman" w:hAnsi="Times New Roman" w:cs="Times New Roman"/>
      <w:bCs/>
      <w:szCs w:val="20"/>
      <w:lang w:eastAsia="da-DK"/>
    </w:rPr>
  </w:style>
  <w:style w:type="character" w:customStyle="1" w:styleId="KommentartekstTegn">
    <w:name w:val="Kommentartekst Tegn"/>
    <w:basedOn w:val="Standardskrifttypeiafsnit"/>
    <w:link w:val="Kommentartekst"/>
    <w:uiPriority w:val="99"/>
    <w:rsid w:val="00437D36"/>
    <w:rPr>
      <w:rFonts w:ascii="Times New Roman" w:eastAsia="Times New Roman" w:hAnsi="Times New Roman" w:cs="Times New Roman"/>
      <w:bCs/>
      <w:sz w:val="20"/>
      <w:szCs w:val="20"/>
      <w:lang w:eastAsia="da-DK"/>
    </w:rPr>
  </w:style>
  <w:style w:type="paragraph" w:styleId="Fodnotetekst">
    <w:name w:val="footnote text"/>
    <w:basedOn w:val="Normal"/>
    <w:link w:val="FodnotetekstTegn"/>
    <w:uiPriority w:val="99"/>
    <w:semiHidden/>
    <w:unhideWhenUsed/>
    <w:rsid w:val="00437D36"/>
    <w:pPr>
      <w:tabs>
        <w:tab w:val="left" w:pos="567"/>
        <w:tab w:val="left" w:pos="1134"/>
        <w:tab w:val="left" w:pos="1701"/>
      </w:tabs>
      <w:overflowPunct w:val="0"/>
      <w:autoSpaceDE w:val="0"/>
      <w:autoSpaceDN w:val="0"/>
      <w:adjustRightInd w:val="0"/>
      <w:spacing w:line="240" w:lineRule="auto"/>
      <w:jc w:val="both"/>
      <w:textAlignment w:val="baseline"/>
    </w:pPr>
    <w:rPr>
      <w:rFonts w:ascii="Times New Roman" w:eastAsia="Times New Roman" w:hAnsi="Times New Roman" w:cs="Times New Roman"/>
      <w:bCs/>
      <w:szCs w:val="20"/>
      <w:lang w:eastAsia="da-DK"/>
    </w:rPr>
  </w:style>
  <w:style w:type="character" w:customStyle="1" w:styleId="FodnotetekstTegn">
    <w:name w:val="Fodnotetekst Tegn"/>
    <w:basedOn w:val="Standardskrifttypeiafsnit"/>
    <w:link w:val="Fodnotetekst"/>
    <w:uiPriority w:val="99"/>
    <w:semiHidden/>
    <w:rsid w:val="00437D36"/>
    <w:rPr>
      <w:rFonts w:ascii="Times New Roman" w:eastAsia="Times New Roman" w:hAnsi="Times New Roman" w:cs="Times New Roman"/>
      <w:bCs/>
      <w:sz w:val="20"/>
      <w:szCs w:val="20"/>
      <w:lang w:eastAsia="da-DK"/>
    </w:rPr>
  </w:style>
  <w:style w:type="character" w:styleId="Fodnotehenvisning">
    <w:name w:val="footnote reference"/>
    <w:basedOn w:val="Standardskrifttypeiafsnit"/>
    <w:uiPriority w:val="99"/>
    <w:semiHidden/>
    <w:unhideWhenUsed/>
    <w:rsid w:val="00437D36"/>
    <w:rPr>
      <w:vertAlign w:val="superscript"/>
    </w:rPr>
  </w:style>
  <w:style w:type="paragraph" w:styleId="Kommentaremne">
    <w:name w:val="annotation subject"/>
    <w:basedOn w:val="Kommentartekst"/>
    <w:next w:val="Kommentartekst"/>
    <w:link w:val="KommentaremneTegn"/>
    <w:uiPriority w:val="99"/>
    <w:semiHidden/>
    <w:unhideWhenUsed/>
    <w:rsid w:val="00313538"/>
    <w:pPr>
      <w:tabs>
        <w:tab w:val="clear" w:pos="567"/>
        <w:tab w:val="clear" w:pos="1134"/>
        <w:tab w:val="clear" w:pos="1701"/>
      </w:tabs>
      <w:overflowPunct/>
      <w:autoSpaceDE/>
      <w:autoSpaceDN/>
      <w:adjustRightInd/>
      <w:jc w:val="left"/>
      <w:textAlignment w:val="auto"/>
    </w:pPr>
    <w:rPr>
      <w:rFonts w:ascii="Arial" w:eastAsiaTheme="minorHAnsi" w:hAnsi="Arial" w:cstheme="minorBidi"/>
      <w:b/>
      <w:lang w:eastAsia="en-US"/>
    </w:rPr>
  </w:style>
  <w:style w:type="character" w:customStyle="1" w:styleId="KommentaremneTegn">
    <w:name w:val="Kommentaremne Tegn"/>
    <w:basedOn w:val="KommentartekstTegn"/>
    <w:link w:val="Kommentaremne"/>
    <w:uiPriority w:val="99"/>
    <w:semiHidden/>
    <w:rsid w:val="00313538"/>
    <w:rPr>
      <w:rFonts w:ascii="Arial" w:eastAsia="Times New Roman" w:hAnsi="Arial" w:cs="Times New Roman"/>
      <w:b/>
      <w:bCs/>
      <w:sz w:val="20"/>
      <w:szCs w:val="20"/>
      <w:lang w:eastAsia="da-DK"/>
    </w:rPr>
  </w:style>
  <w:style w:type="paragraph" w:styleId="Listeafsnit">
    <w:name w:val="List Paragraph"/>
    <w:basedOn w:val="Normal"/>
    <w:uiPriority w:val="34"/>
    <w:qFormat/>
    <w:rsid w:val="00571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0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k@ens.d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nbn@ens.d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rk@ens.dk" TargetMode="External"/><Relationship Id="rId4" Type="http://schemas.openxmlformats.org/officeDocument/2006/relationships/webSettings" Target="webSettings.xml"/><Relationship Id="rId9" Type="http://schemas.openxmlformats.org/officeDocument/2006/relationships/hyperlink" Target="mailto:anbn@ens.d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1760</Words>
  <Characters>10742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2021-06-01T07:40:00Z</dcterms:created>
  <dcterms:modified xsi:type="dcterms:W3CDTF">2021-06-14T08:59:00Z</dcterms:modified>
</cp:coreProperties>
</file>