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65FE0187" w:rsidR="00333919" w:rsidRPr="0068132D" w:rsidRDefault="00912565" w:rsidP="00912565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3967FC00" w:rsidR="00333919" w:rsidRPr="007E3321" w:rsidRDefault="00912565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</w:t>
      </w:r>
      <w:r w:rsidR="007E3321" w:rsidRPr="007E3321">
        <w:rPr>
          <w:rFonts w:ascii="Arial Black" w:hAnsi="Arial Black" w:cs="Arial"/>
          <w:sz w:val="32"/>
          <w:szCs w:val="32"/>
        </w:rPr>
        <w:t>jourførte søkort</w:t>
      </w: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0F55BF28" w14:textId="77777777" w:rsidR="007E3321" w:rsidRDefault="007E3321" w:rsidP="00333919">
      <w:pPr>
        <w:rPr>
          <w:rFonts w:ascii="Arial" w:hAnsi="Arial" w:cs="Arial"/>
          <w:sz w:val="24"/>
          <w:szCs w:val="24"/>
        </w:rPr>
      </w:pPr>
    </w:p>
    <w:p w14:paraId="6793178D" w14:textId="77777777" w:rsidR="007E3321" w:rsidRDefault="007E3321" w:rsidP="00333919">
      <w:pPr>
        <w:rPr>
          <w:rFonts w:ascii="Arial" w:hAnsi="Arial" w:cs="Arial"/>
          <w:sz w:val="24"/>
          <w:szCs w:val="24"/>
        </w:rPr>
      </w:pPr>
    </w:p>
    <w:p w14:paraId="10FB7B01" w14:textId="77777777" w:rsidR="007E3321" w:rsidRDefault="007E3321" w:rsidP="00333919">
      <w:pPr>
        <w:rPr>
          <w:rFonts w:ascii="Arial" w:hAnsi="Arial" w:cs="Arial"/>
          <w:sz w:val="24"/>
          <w:szCs w:val="24"/>
        </w:rPr>
      </w:pPr>
    </w:p>
    <w:p w14:paraId="1AAA95BB" w14:textId="77777777" w:rsidR="007E3321" w:rsidRPr="002442D7" w:rsidRDefault="007E3321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2D277C71" w:rsidR="00B34F55" w:rsidRPr="007E3321" w:rsidRDefault="00912565" w:rsidP="00912565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Annes A: </w:t>
      </w:r>
      <w:r w:rsidR="004138EB" w:rsidRPr="007E3321">
        <w:rPr>
          <w:rFonts w:ascii="Arial" w:hAnsi="Arial" w:cs="Arial"/>
          <w:sz w:val="24"/>
          <w:szCs w:val="24"/>
        </w:rPr>
        <w:t>FMI</w:t>
      </w:r>
      <w:r w:rsidR="00536B5A" w:rsidRPr="007E3321">
        <w:rPr>
          <w:rFonts w:ascii="Arial" w:hAnsi="Arial" w:cs="Arial"/>
          <w:sz w:val="24"/>
          <w:szCs w:val="24"/>
        </w:rPr>
        <w:t xml:space="preserve">'s </w:t>
      </w:r>
      <w:r w:rsidR="00CC307A" w:rsidRPr="007E3321">
        <w:rPr>
          <w:rFonts w:ascii="Arial" w:hAnsi="Arial" w:cs="Arial"/>
          <w:sz w:val="24"/>
          <w:szCs w:val="24"/>
        </w:rPr>
        <w:t>kravspecifikation</w:t>
      </w:r>
    </w:p>
    <w:p w14:paraId="682524FE" w14:textId="22AB815D" w:rsidR="006F41F7" w:rsidRPr="002442D7" w:rsidRDefault="00912565" w:rsidP="00912565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Anneks B: Leverandørens tilbud 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1" w14:textId="7FD92676" w:rsidR="00FD5168" w:rsidRPr="002442D7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912565">
        <w:rPr>
          <w:sz w:val="24"/>
          <w:szCs w:val="24"/>
        </w:rPr>
        <w:t xml:space="preserve"> (Anneks A). 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C" w14:textId="7F81627F" w:rsidR="00AE3824" w:rsidRPr="00912565" w:rsidRDefault="00333919" w:rsidP="00912565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27" w14:textId="69B2B2B2" w:rsidR="004B6B1B" w:rsidRDefault="00333919" w:rsidP="007E3321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7E3321">
        <w:rPr>
          <w:rFonts w:ascii="Arial" w:hAnsi="Arial" w:cs="Arial"/>
          <w:sz w:val="24"/>
          <w:szCs w:val="24"/>
        </w:rPr>
        <w:t>laveste pris</w:t>
      </w:r>
      <w:r w:rsidR="007E3321">
        <w:rPr>
          <w:rFonts w:ascii="Arial" w:hAnsi="Arial" w:cs="Arial"/>
          <w:sz w:val="24"/>
          <w:szCs w:val="24"/>
        </w:rPr>
        <w:t>.</w:t>
      </w:r>
    </w:p>
    <w:p w14:paraId="58A58656" w14:textId="77777777" w:rsidR="007E3321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</w:p>
    <w:p w14:paraId="1900E852" w14:textId="69B33810" w:rsidR="007E3321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Tilbuddet evalueres efter følgende model. Den tilbudsgiver der imødekommer alle SKAL kravene, og har den laveste pris på følgende kombinerede ordre,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deles opgaven med søkortrettelser fra 3. oktober 2020 og ét år frem.</w:t>
      </w:r>
    </w:p>
    <w:p w14:paraId="611F72A6" w14:textId="77777777" w:rsidR="007E3321" w:rsidRPr="00B52ED6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</w:p>
    <w:p w14:paraId="3AD7BCA8" w14:textId="048538B0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Tilbudsgiver skal udfylde Anneks B </w:t>
      </w:r>
      <w:r>
        <w:rPr>
          <w:rFonts w:ascii="Arial" w:hAnsi="Arial" w:cs="Arial"/>
          <w:i/>
          <w:sz w:val="24"/>
          <w:szCs w:val="24"/>
        </w:rPr>
        <w:t xml:space="preserve">”Leverandørens tilbud” </w:t>
      </w:r>
      <w:r>
        <w:rPr>
          <w:rFonts w:ascii="Arial" w:hAnsi="Arial" w:cs="Arial"/>
          <w:sz w:val="24"/>
          <w:szCs w:val="24"/>
        </w:rPr>
        <w:t xml:space="preserve">med de efterspurgte priser: </w:t>
      </w:r>
    </w:p>
    <w:p w14:paraId="5873194E" w14:textId="77777777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912565" w:rsidRPr="007E3321" w14:paraId="198F1833" w14:textId="77777777" w:rsidTr="00912565">
        <w:tc>
          <w:tcPr>
            <w:tcW w:w="4077" w:type="dxa"/>
          </w:tcPr>
          <w:p w14:paraId="529EB0B5" w14:textId="4DDA06E4" w:rsidR="00912565" w:rsidRDefault="00912565" w:rsidP="00675C3B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Fastpris for op til 1.500 ajourfø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te søkort </w:t>
            </w:r>
          </w:p>
        </w:tc>
        <w:tc>
          <w:tcPr>
            <w:tcW w:w="4820" w:type="dxa"/>
          </w:tcPr>
          <w:p w14:paraId="2CEE0039" w14:textId="66586361" w:rsidR="00912565" w:rsidRPr="00912565" w:rsidRDefault="00912565" w:rsidP="00912565">
            <w:pPr>
              <w:spacing w:line="276" w:lineRule="auto"/>
              <w:ind w:righ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X kr. </w:t>
            </w:r>
          </w:p>
        </w:tc>
      </w:tr>
      <w:tr w:rsidR="00912565" w:rsidRPr="007E3321" w14:paraId="0B4D06BD" w14:textId="77777777" w:rsidTr="00912565">
        <w:tc>
          <w:tcPr>
            <w:tcW w:w="4077" w:type="dxa"/>
          </w:tcPr>
          <w:p w14:paraId="21A028CE" w14:textId="004EC9BA" w:rsidR="00912565" w:rsidRDefault="00574960" w:rsidP="00675C3B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 pr. søkort udover 1.500 ajourføringer  </w:t>
            </w:r>
          </w:p>
        </w:tc>
        <w:tc>
          <w:tcPr>
            <w:tcW w:w="4820" w:type="dxa"/>
          </w:tcPr>
          <w:p w14:paraId="184A3D3B" w14:textId="0F6E898F" w:rsidR="00912565" w:rsidRPr="00912565" w:rsidRDefault="00912565" w:rsidP="00912565">
            <w:pPr>
              <w:spacing w:line="276" w:lineRule="auto"/>
              <w:ind w:righ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 kr. pr. søkort</w:t>
            </w:r>
          </w:p>
        </w:tc>
      </w:tr>
    </w:tbl>
    <w:p w14:paraId="418982E9" w14:textId="05DC5DA1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117AEE" w14:textId="7200AAF9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Herefter beregnes en evalueringsteknisk pris på følgende måde: </w:t>
      </w:r>
    </w:p>
    <w:p w14:paraId="1EAC0939" w14:textId="48EA7F70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727BA36" w14:textId="5BC07A69" w:rsidR="00912565" w:rsidRP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Evalueringsteknisk pris = X kr. + </w:t>
      </w:r>
      <w:r w:rsidR="00574960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100 * Y kr.</w:t>
      </w:r>
      <w:r w:rsidR="00574960">
        <w:rPr>
          <w:rFonts w:ascii="Arial" w:hAnsi="Arial" w:cs="Arial"/>
          <w:i/>
          <w:sz w:val="24"/>
          <w:szCs w:val="24"/>
        </w:rPr>
        <w:t>)</w:t>
      </w:r>
    </w:p>
    <w:p w14:paraId="493F168F" w14:textId="04358D6B" w:rsid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57EE624" w14:textId="3FD7E978" w:rsidR="00912565" w:rsidRDefault="00574960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konditionsmæssige tilbud</w:t>
      </w:r>
      <w:r w:rsidR="00912565">
        <w:rPr>
          <w:rFonts w:ascii="Arial" w:hAnsi="Arial" w:cs="Arial"/>
          <w:sz w:val="24"/>
          <w:szCs w:val="24"/>
        </w:rPr>
        <w:t xml:space="preserve"> med den laveste evalueringstekniske pris vil </w:t>
      </w:r>
      <w:r>
        <w:rPr>
          <w:rFonts w:ascii="Arial" w:hAnsi="Arial" w:cs="Arial"/>
          <w:sz w:val="24"/>
          <w:szCs w:val="24"/>
        </w:rPr>
        <w:t xml:space="preserve">blive tildelt annonceringen. </w:t>
      </w:r>
    </w:p>
    <w:p w14:paraId="0C904C53" w14:textId="77777777" w:rsidR="00912565" w:rsidRPr="00912565" w:rsidRDefault="00912565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31AF25B3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7E3321">
        <w:rPr>
          <w:rFonts w:ascii="Arial" w:hAnsi="Arial" w:cs="Arial"/>
          <w:sz w:val="24"/>
          <w:szCs w:val="24"/>
        </w:rPr>
        <w:t>FMI-KTP-SC-TENDER-MA@mil.dk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lastRenderedPageBreak/>
        <w:t>Tilbuddets indhold</w:t>
      </w:r>
      <w:bookmarkEnd w:id="24"/>
      <w:bookmarkEnd w:id="25"/>
      <w:bookmarkEnd w:id="26"/>
    </w:p>
    <w:p w14:paraId="68252536" w14:textId="5C210DAF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044E8C79" w:rsidR="000D1BB1" w:rsidRPr="002442D7" w:rsidRDefault="00574960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Udfyldt Anneks A </w:t>
      </w:r>
      <w:r>
        <w:rPr>
          <w:rFonts w:ascii="Arial" w:hAnsi="Arial" w:cs="Arial"/>
          <w:i/>
          <w:sz w:val="24"/>
          <w:szCs w:val="24"/>
        </w:rPr>
        <w:t xml:space="preserve">”FMI Kravspecifikation” </w:t>
      </w:r>
    </w:p>
    <w:p w14:paraId="6825253D" w14:textId="553F8E8C" w:rsidR="000D2A3F" w:rsidRDefault="007D77AB" w:rsidP="007E332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E3321">
        <w:rPr>
          <w:rFonts w:ascii="Arial" w:hAnsi="Arial" w:cs="Arial"/>
          <w:sz w:val="24"/>
          <w:szCs w:val="24"/>
        </w:rPr>
        <w:t xml:space="preserve">Udfyldt </w:t>
      </w:r>
      <w:r w:rsidR="00574960">
        <w:rPr>
          <w:rFonts w:ascii="Arial" w:hAnsi="Arial" w:cs="Arial"/>
          <w:sz w:val="24"/>
          <w:szCs w:val="24"/>
        </w:rPr>
        <w:t xml:space="preserve">Anneks B </w:t>
      </w:r>
      <w:r w:rsidR="00574960">
        <w:rPr>
          <w:rFonts w:ascii="Arial" w:hAnsi="Arial" w:cs="Arial"/>
          <w:i/>
          <w:sz w:val="24"/>
          <w:szCs w:val="24"/>
        </w:rPr>
        <w:t xml:space="preserve">”Leverandørens tilbud”  </w:t>
      </w:r>
    </w:p>
    <w:p w14:paraId="590882C0" w14:textId="77777777" w:rsidR="00574960" w:rsidRPr="00574960" w:rsidRDefault="00574960" w:rsidP="00574960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14:paraId="68252541" w14:textId="3BD6B508" w:rsidR="004846D1" w:rsidRPr="00BB25FE" w:rsidRDefault="007E3321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fremsendes pr. </w:t>
      </w:r>
      <w:r w:rsidRPr="007E3321">
        <w:rPr>
          <w:rFonts w:ascii="Arial" w:hAnsi="Arial" w:cs="Arial"/>
          <w:sz w:val="24"/>
          <w:szCs w:val="24"/>
        </w:rPr>
        <w:t xml:space="preserve">mail til </w:t>
      </w:r>
      <w:hyperlink r:id="rId15" w:history="1">
        <w:r w:rsidRPr="006F4064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846D1" w:rsidRPr="007E3321">
        <w:rPr>
          <w:rFonts w:ascii="Arial" w:hAnsi="Arial" w:cs="Arial"/>
          <w:sz w:val="24"/>
          <w:szCs w:val="24"/>
        </w:rPr>
        <w:t xml:space="preserve">senest </w:t>
      </w:r>
      <w:r w:rsidR="00574960">
        <w:rPr>
          <w:rFonts w:ascii="Arial" w:hAnsi="Arial" w:cs="Arial"/>
          <w:sz w:val="24"/>
          <w:szCs w:val="24"/>
        </w:rPr>
        <w:t>den 21. august 2020</w:t>
      </w:r>
      <w:r w:rsidR="004846D1" w:rsidRPr="007E3321">
        <w:rPr>
          <w:rFonts w:ascii="Arial" w:hAnsi="Arial" w:cs="Arial"/>
          <w:sz w:val="24"/>
          <w:szCs w:val="24"/>
        </w:rPr>
        <w:t xml:space="preserve"> kl. </w:t>
      </w:r>
      <w:r w:rsidRPr="007E3321">
        <w:rPr>
          <w:rFonts w:ascii="Arial" w:hAnsi="Arial" w:cs="Arial"/>
          <w:sz w:val="24"/>
          <w:szCs w:val="24"/>
        </w:rPr>
        <w:t>10</w:t>
      </w:r>
      <w:r w:rsidR="004846D1" w:rsidRPr="007E3321">
        <w:rPr>
          <w:rFonts w:ascii="Arial" w:hAnsi="Arial" w:cs="Arial"/>
          <w:sz w:val="24"/>
          <w:szCs w:val="24"/>
        </w:rPr>
        <w:t>:00.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</w:t>
      </w:r>
      <w:r w:rsidRPr="00231CA6">
        <w:rPr>
          <w:rFonts w:ascii="Arial" w:hAnsi="Arial" w:cs="Arial"/>
          <w:sz w:val="24"/>
          <w:szCs w:val="24"/>
        </w:rPr>
        <w:lastRenderedPageBreak/>
        <w:t>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2AD533E" w14:textId="77777777" w:rsidR="007E3321" w:rsidRDefault="007E3321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51ACA694" w:rsidR="00712600" w:rsidRPr="00B676D3" w:rsidRDefault="0057496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5. august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2CC54D4A" w:rsidR="00712600" w:rsidRPr="00B676D3" w:rsidRDefault="0057496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12. august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499D7C0" w14:textId="77777777" w:rsidR="007E3321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81278A8" w:rsidR="007E3321" w:rsidRPr="00B676D3" w:rsidRDefault="0057496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18. august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7482B82F" w:rsidR="00712600" w:rsidRPr="00B676D3" w:rsidRDefault="0057496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21. august 2020 kl. 10:00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3959" w14:textId="77777777" w:rsidR="00E81AE3" w:rsidRDefault="00E81AE3" w:rsidP="00333919">
      <w:pPr>
        <w:spacing w:line="240" w:lineRule="auto"/>
      </w:pPr>
      <w:r>
        <w:separator/>
      </w:r>
    </w:p>
  </w:endnote>
  <w:endnote w:type="continuationSeparator" w:id="0">
    <w:p w14:paraId="7C132ABF" w14:textId="77777777" w:rsidR="00E81AE3" w:rsidRDefault="00E81AE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3A4982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92CD9" w14:textId="77777777" w:rsidR="00E81AE3" w:rsidRDefault="00E81AE3" w:rsidP="00333919">
      <w:pPr>
        <w:spacing w:line="240" w:lineRule="auto"/>
      </w:pPr>
      <w:r>
        <w:separator/>
      </w:r>
    </w:p>
  </w:footnote>
  <w:footnote w:type="continuationSeparator" w:id="0">
    <w:p w14:paraId="791ECDB8" w14:textId="77777777" w:rsidR="00E81AE3" w:rsidRDefault="00E81AE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B2D83F4" w:rsidR="0045537E" w:rsidRDefault="007E3321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108017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2525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982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960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3321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2565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81AE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uiPriority w:val="59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332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3321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3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uiPriority w:val="59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332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3321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3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SC-TENDER-M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b92a7b62-18c2-4926-a891-55c0c57152a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2BCF0D7-8114-48BC-A544-CD4CBF4869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3EFE65-0FCB-4283-BA02-8A694EB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B5CCAD7D</Template>
  <TotalTime>0</TotalTime>
  <Pages>5</Pages>
  <Words>602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2020-08-05T11:27:00Z</dcterms:created>
  <dcterms:modified xsi:type="dcterms:W3CDTF">2020-08-05T11:27:00Z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