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DEC69C5" w14:textId="77777777" w:rsidR="00E32518" w:rsidRDefault="00980033" w:rsidP="00E32518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977813">
        <w:rPr>
          <w:rFonts w:ascii="Arial" w:hAnsi="Arial" w:cs="Arial"/>
          <w:b/>
          <w:color w:val="0070C0"/>
          <w:sz w:val="48"/>
          <w:szCs w:val="48"/>
        </w:rPr>
        <w:t>for</w:t>
      </w:r>
      <w:r w:rsidR="00E32518">
        <w:rPr>
          <w:rFonts w:ascii="Arial" w:hAnsi="Arial" w:cs="Arial"/>
          <w:b/>
          <w:color w:val="0070C0"/>
          <w:sz w:val="48"/>
          <w:szCs w:val="48"/>
        </w:rPr>
        <w:t xml:space="preserve"> </w:t>
      </w:r>
    </w:p>
    <w:p w14:paraId="0CA1C5FC" w14:textId="01CAD8D1" w:rsidR="006E3D4E" w:rsidRPr="00C432B7" w:rsidRDefault="00E32518" w:rsidP="00E32518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bookmarkStart w:id="0" w:name="_GoBack"/>
      <w:r w:rsidRPr="00E32518">
        <w:rPr>
          <w:rFonts w:ascii="Arial" w:hAnsi="Arial" w:cs="Arial"/>
          <w:b/>
          <w:color w:val="0070C0"/>
          <w:sz w:val="48"/>
          <w:szCs w:val="48"/>
        </w:rPr>
        <w:t xml:space="preserve">Eyecups for Swarovski </w:t>
      </w:r>
      <w:proofErr w:type="spellStart"/>
      <w:r w:rsidRPr="00E32518">
        <w:rPr>
          <w:rFonts w:ascii="Arial" w:hAnsi="Arial" w:cs="Arial"/>
          <w:b/>
          <w:color w:val="0070C0"/>
          <w:sz w:val="48"/>
          <w:szCs w:val="48"/>
        </w:rPr>
        <w:t>Habicht</w:t>
      </w:r>
      <w:proofErr w:type="spellEnd"/>
      <w:r w:rsidRPr="00E32518">
        <w:rPr>
          <w:rFonts w:ascii="Arial" w:hAnsi="Arial" w:cs="Arial"/>
          <w:b/>
          <w:color w:val="0070C0"/>
          <w:sz w:val="48"/>
          <w:szCs w:val="48"/>
        </w:rPr>
        <w:t xml:space="preserve"> 7x42</w:t>
      </w:r>
    </w:p>
    <w:bookmarkEnd w:id="0"/>
    <w:p w14:paraId="0CA1C5FD" w14:textId="77777777" w:rsidR="006E3D4E" w:rsidRPr="00C432B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C432B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C432B7" w:rsidRDefault="00576617">
      <w:pPr>
        <w:rPr>
          <w:rFonts w:ascii="Arial" w:hAnsi="Arial" w:cs="Arial"/>
          <w:sz w:val="24"/>
          <w:szCs w:val="24"/>
        </w:rPr>
      </w:pPr>
      <w:r w:rsidRPr="00C432B7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7C1FC9E5" w14:textId="2A3C6332" w:rsidR="005E7671" w:rsidRPr="00977813" w:rsidRDefault="009752DB" w:rsidP="00977813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59DB9AAE" w14:textId="77777777" w:rsidR="004352C9" w:rsidRDefault="006E4B05" w:rsidP="004352C9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sz w:val="24"/>
          <w:szCs w:val="24"/>
        </w:rPr>
      </w:pPr>
      <w:bookmarkStart w:id="1" w:name="_Hlk29401336"/>
      <w:r w:rsidRPr="006E4B05">
        <w:rPr>
          <w:rFonts w:ascii="Arial" w:hAnsi="Arial" w:cs="Arial"/>
          <w:sz w:val="24"/>
          <w:szCs w:val="24"/>
        </w:rPr>
        <w:t xml:space="preserve">DALO wishes to acquire a number of </w:t>
      </w:r>
      <w:r w:rsidR="003E5BC8" w:rsidRPr="003E5BC8">
        <w:rPr>
          <w:rFonts w:ascii="Arial" w:hAnsi="Arial" w:cs="Arial"/>
          <w:sz w:val="24"/>
          <w:szCs w:val="24"/>
        </w:rPr>
        <w:t xml:space="preserve">eyecups (spare parts) </w:t>
      </w:r>
      <w:r w:rsidRPr="006E4B05">
        <w:rPr>
          <w:rFonts w:ascii="Arial" w:hAnsi="Arial" w:cs="Arial"/>
          <w:sz w:val="24"/>
          <w:szCs w:val="24"/>
        </w:rPr>
        <w:t xml:space="preserve">to be used by the Danish Armed Forces </w:t>
      </w:r>
      <w:r w:rsidR="003E5BC8">
        <w:rPr>
          <w:rFonts w:ascii="Arial" w:hAnsi="Arial" w:cs="Arial"/>
          <w:sz w:val="24"/>
          <w:szCs w:val="24"/>
        </w:rPr>
        <w:t xml:space="preserve">to </w:t>
      </w:r>
      <w:r w:rsidR="003E5BC8" w:rsidRPr="003E5BC8">
        <w:rPr>
          <w:rFonts w:ascii="Arial" w:hAnsi="Arial" w:cs="Arial"/>
          <w:sz w:val="24"/>
          <w:szCs w:val="24"/>
        </w:rPr>
        <w:t xml:space="preserve">support the maintenance of their Swarovski </w:t>
      </w:r>
      <w:proofErr w:type="spellStart"/>
      <w:r w:rsidR="003E5BC8" w:rsidRPr="003E5BC8">
        <w:rPr>
          <w:rFonts w:ascii="Arial" w:hAnsi="Arial" w:cs="Arial"/>
          <w:sz w:val="24"/>
          <w:szCs w:val="24"/>
        </w:rPr>
        <w:t>Habicht</w:t>
      </w:r>
      <w:proofErr w:type="spellEnd"/>
      <w:r w:rsidR="003E5BC8" w:rsidRPr="003E5BC8">
        <w:rPr>
          <w:rFonts w:ascii="Arial" w:hAnsi="Arial" w:cs="Arial"/>
          <w:sz w:val="24"/>
          <w:szCs w:val="24"/>
        </w:rPr>
        <w:t xml:space="preserve"> 7x42 binoculars</w:t>
      </w:r>
      <w:r w:rsidRPr="006E4B05">
        <w:rPr>
          <w:rFonts w:ascii="Arial" w:hAnsi="Arial" w:cs="Arial"/>
          <w:sz w:val="24"/>
          <w:szCs w:val="24"/>
        </w:rPr>
        <w:t>.</w:t>
      </w:r>
      <w:r w:rsidR="004352C9">
        <w:rPr>
          <w:rFonts w:ascii="Arial" w:hAnsi="Arial" w:cs="Arial"/>
          <w:sz w:val="24"/>
          <w:szCs w:val="24"/>
        </w:rPr>
        <w:t xml:space="preserve"> </w:t>
      </w:r>
    </w:p>
    <w:p w14:paraId="552B1420" w14:textId="77777777" w:rsidR="004352C9" w:rsidRDefault="004352C9" w:rsidP="004352C9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sz w:val="24"/>
          <w:szCs w:val="24"/>
        </w:rPr>
      </w:pPr>
    </w:p>
    <w:p w14:paraId="46A61BDA" w14:textId="6BD456AD" w:rsidR="005E7671" w:rsidRPr="001F2460" w:rsidRDefault="001F2460" w:rsidP="006E4B05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1F2460">
        <w:rPr>
          <w:rFonts w:ascii="Arial" w:hAnsi="Arial" w:cs="Arial"/>
          <w:sz w:val="24"/>
          <w:szCs w:val="24"/>
        </w:rPr>
        <w:t xml:space="preserve">DALO seeks to streamline their stock of eyecups (spare parts) for </w:t>
      </w:r>
      <w:proofErr w:type="spellStart"/>
      <w:r w:rsidRPr="001F2460">
        <w:rPr>
          <w:rFonts w:ascii="Arial" w:hAnsi="Arial" w:cs="Arial"/>
          <w:sz w:val="24"/>
          <w:szCs w:val="24"/>
        </w:rPr>
        <w:t>Swarowski</w:t>
      </w:r>
      <w:proofErr w:type="spellEnd"/>
      <w:r w:rsidRPr="001F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460">
        <w:rPr>
          <w:rFonts w:ascii="Arial" w:hAnsi="Arial" w:cs="Arial"/>
          <w:sz w:val="24"/>
          <w:szCs w:val="24"/>
        </w:rPr>
        <w:t>Habicht</w:t>
      </w:r>
      <w:proofErr w:type="spellEnd"/>
      <w:r w:rsidRPr="001F2460">
        <w:rPr>
          <w:rFonts w:ascii="Arial" w:hAnsi="Arial" w:cs="Arial"/>
          <w:sz w:val="24"/>
          <w:szCs w:val="24"/>
        </w:rPr>
        <w:t xml:space="preserve"> 7x42 binoculars so this is uniform. Thus, DALO envisages that the parts offered by the tenderer for the re-supply are original spare parts or parts that are identical in form, function and quality to the OEM parts, as specified in section 1.4.</w:t>
      </w:r>
    </w:p>
    <w:p w14:paraId="4C0E0F8D" w14:textId="77777777" w:rsidR="001F2460" w:rsidRPr="00767062" w:rsidRDefault="001F2460" w:rsidP="006E4B05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bookmarkEnd w:id="1"/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54A41F8A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06F16631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351"/>
        <w:gridCol w:w="1843"/>
        <w:gridCol w:w="2599"/>
        <w:gridCol w:w="702"/>
        <w:gridCol w:w="742"/>
        <w:gridCol w:w="3392"/>
      </w:tblGrid>
      <w:tr w:rsidR="00F5760B" w:rsidRPr="00080E7B" w14:paraId="0CA1C624" w14:textId="77777777" w:rsidTr="00E13B15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35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843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2599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E13B15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E13B15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2C9" w:rsidRPr="00DE3FC0" w14:paraId="0CA1C63D" w14:textId="77777777" w:rsidTr="00E13B15">
        <w:tc>
          <w:tcPr>
            <w:tcW w:w="526" w:type="dxa"/>
            <w:vAlign w:val="center"/>
          </w:tcPr>
          <w:p w14:paraId="0CA1C635" w14:textId="474A82BD" w:rsidR="004352C9" w:rsidRPr="001C3642" w:rsidRDefault="004352C9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14:paraId="69517E1D" w14:textId="77777777" w:rsidR="004352C9" w:rsidRPr="004352C9" w:rsidRDefault="004352C9" w:rsidP="00F3144D">
            <w:pPr>
              <w:pStyle w:val="Opstilling-punkttegn"/>
              <w:numPr>
                <w:ilvl w:val="0"/>
                <w:numId w:val="0"/>
              </w:num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352C9">
              <w:rPr>
                <w:rFonts w:ascii="Arial" w:eastAsiaTheme="minorEastAsia" w:hAnsi="Arial" w:cs="Arial"/>
                <w:sz w:val="24"/>
                <w:szCs w:val="24"/>
              </w:rPr>
              <w:t>The supplier shall offer the following items in the specified quantities:</w:t>
            </w:r>
          </w:p>
          <w:p w14:paraId="766011EC" w14:textId="77777777" w:rsidR="004352C9" w:rsidRPr="004352C9" w:rsidRDefault="004352C9" w:rsidP="00F3144D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E9C8072" w14:textId="77777777" w:rsidR="004352C9" w:rsidRPr="00A43A09" w:rsidRDefault="004352C9" w:rsidP="00F3144D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A43A09">
              <w:rPr>
                <w:rFonts w:ascii="Arial" w:eastAsiaTheme="minorEastAsia" w:hAnsi="Arial" w:cs="Arial"/>
                <w:sz w:val="24"/>
                <w:szCs w:val="24"/>
              </w:rPr>
              <w:t>AUGENMUSCHEL,7X42 B O GI L</w:t>
            </w:r>
          </w:p>
          <w:p w14:paraId="34F87D0A" w14:textId="77777777" w:rsidR="004352C9" w:rsidRPr="004352C9" w:rsidRDefault="004352C9" w:rsidP="00F3144D">
            <w:pPr>
              <w:pStyle w:val="Opstilling-punkttegn"/>
              <w:numPr>
                <w:ilvl w:val="0"/>
                <w:numId w:val="0"/>
              </w:numPr>
              <w:ind w:left="360" w:hanging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352C9">
              <w:rPr>
                <w:rFonts w:ascii="Arial" w:eastAsiaTheme="minorEastAsia" w:hAnsi="Arial" w:cs="Arial"/>
                <w:sz w:val="24"/>
                <w:szCs w:val="24"/>
              </w:rPr>
              <w:t>NSN: 6650221197097</w:t>
            </w:r>
          </w:p>
          <w:p w14:paraId="3BE1CA7D" w14:textId="77777777" w:rsidR="004352C9" w:rsidRPr="004352C9" w:rsidRDefault="004352C9" w:rsidP="00F3144D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352C9">
              <w:rPr>
                <w:rFonts w:ascii="Arial" w:eastAsiaTheme="minorEastAsia" w:hAnsi="Arial" w:cs="Arial"/>
                <w:sz w:val="24"/>
                <w:szCs w:val="24"/>
              </w:rPr>
              <w:t>Swarovski P/N:  88-0201C</w:t>
            </w:r>
          </w:p>
          <w:p w14:paraId="0CA1C637" w14:textId="119174CC" w:rsidR="004352C9" w:rsidRPr="004352C9" w:rsidRDefault="004352C9" w:rsidP="00F3144D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4352C9">
              <w:rPr>
                <w:rFonts w:ascii="Arial" w:eastAsiaTheme="minorEastAsia" w:hAnsi="Arial" w:cs="Arial"/>
                <w:sz w:val="24"/>
                <w:szCs w:val="24"/>
              </w:rPr>
              <w:t>Qty.: 300</w:t>
            </w:r>
          </w:p>
        </w:tc>
        <w:tc>
          <w:tcPr>
            <w:tcW w:w="1843" w:type="dxa"/>
            <w:vAlign w:val="center"/>
          </w:tcPr>
          <w:p w14:paraId="0CA1C638" w14:textId="382515A9" w:rsidR="004352C9" w:rsidRPr="001C3642" w:rsidRDefault="004352C9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C9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2599" w:type="dxa"/>
          </w:tcPr>
          <w:p w14:paraId="0CA1C639" w14:textId="596AA697" w:rsidR="004352C9" w:rsidRPr="001C3642" w:rsidRDefault="004352C9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C9">
              <w:rPr>
                <w:rFonts w:ascii="Arial" w:hAnsi="Arial" w:cs="Arial"/>
                <w:sz w:val="24"/>
                <w:szCs w:val="24"/>
              </w:rPr>
              <w:t>In a documented case where the specific part is discontinued by the original manufacturer, a part corresponding to the manufacturer’s suggested replac</w:t>
            </w:r>
            <w:r w:rsidRPr="004352C9">
              <w:rPr>
                <w:rFonts w:ascii="Arial" w:hAnsi="Arial" w:cs="Arial"/>
                <w:sz w:val="24"/>
                <w:szCs w:val="24"/>
              </w:rPr>
              <w:t>e</w:t>
            </w:r>
            <w:r w:rsidRPr="004352C9">
              <w:rPr>
                <w:rFonts w:ascii="Arial" w:hAnsi="Arial" w:cs="Arial"/>
                <w:sz w:val="24"/>
                <w:szCs w:val="24"/>
              </w:rPr>
              <w:t>ment will be consi</w:t>
            </w:r>
            <w:r w:rsidRPr="004352C9">
              <w:rPr>
                <w:rFonts w:ascii="Arial" w:hAnsi="Arial" w:cs="Arial"/>
                <w:sz w:val="24"/>
                <w:szCs w:val="24"/>
              </w:rPr>
              <w:t>d</w:t>
            </w:r>
            <w:r w:rsidRPr="004352C9">
              <w:rPr>
                <w:rFonts w:ascii="Arial" w:hAnsi="Arial" w:cs="Arial"/>
                <w:sz w:val="24"/>
                <w:szCs w:val="24"/>
              </w:rPr>
              <w:t>ered.</w:t>
            </w:r>
          </w:p>
        </w:tc>
        <w:tc>
          <w:tcPr>
            <w:tcW w:w="702" w:type="dxa"/>
          </w:tcPr>
          <w:p w14:paraId="0CA1C63A" w14:textId="77777777" w:rsidR="004352C9" w:rsidRPr="001C3642" w:rsidRDefault="004352C9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4352C9" w:rsidRPr="001C3642" w:rsidRDefault="004352C9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4352C9" w:rsidRPr="001C3642" w:rsidRDefault="004352C9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2C9" w:rsidRPr="00DE3FC0" w14:paraId="5C6A6E64" w14:textId="77777777" w:rsidTr="00E13B15">
        <w:tc>
          <w:tcPr>
            <w:tcW w:w="526" w:type="dxa"/>
            <w:vAlign w:val="center"/>
          </w:tcPr>
          <w:p w14:paraId="5E9E1647" w14:textId="6B85D61B" w:rsidR="004352C9" w:rsidRPr="001C3642" w:rsidRDefault="004352C9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51" w:type="dxa"/>
          </w:tcPr>
          <w:p w14:paraId="71C98931" w14:textId="59149522" w:rsidR="004352C9" w:rsidRPr="001C3642" w:rsidRDefault="004352C9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C9">
              <w:rPr>
                <w:rFonts w:ascii="Arial" w:hAnsi="Arial" w:cs="Arial"/>
                <w:sz w:val="24"/>
                <w:szCs w:val="24"/>
              </w:rPr>
              <w:t xml:space="preserve">All of the parts shall be new and of no lesser quality than the OEM product referred to in Requirement ID No. 1. </w:t>
            </w:r>
          </w:p>
        </w:tc>
        <w:tc>
          <w:tcPr>
            <w:tcW w:w="1843" w:type="dxa"/>
            <w:vAlign w:val="center"/>
          </w:tcPr>
          <w:p w14:paraId="5BA1101D" w14:textId="05AA2B3F" w:rsidR="004352C9" w:rsidRPr="001C3642" w:rsidRDefault="004352C9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2C9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2599" w:type="dxa"/>
          </w:tcPr>
          <w:p w14:paraId="4CF4175B" w14:textId="77777777" w:rsidR="004352C9" w:rsidRPr="001C3642" w:rsidRDefault="004352C9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4B30CA56" w14:textId="77777777" w:rsidR="004352C9" w:rsidRPr="001C3642" w:rsidRDefault="004352C9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14:paraId="29CF1BA3" w14:textId="77777777" w:rsidR="004352C9" w:rsidRPr="001C3642" w:rsidRDefault="004352C9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9640041" w14:textId="77777777" w:rsidR="004352C9" w:rsidRPr="001C3642" w:rsidRDefault="004352C9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671" w:rsidRPr="00DE3FC0" w14:paraId="5817BB1F" w14:textId="77777777" w:rsidTr="00E13B15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F07D" w14:textId="2CD74C26" w:rsidR="005E7671" w:rsidRPr="001C3642" w:rsidRDefault="004352C9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D4F" w14:textId="5648404A" w:rsidR="00AE7F9E" w:rsidRPr="001C3642" w:rsidRDefault="00AE7F9E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3CD">
              <w:rPr>
                <w:rFonts w:ascii="Arial" w:hAnsi="Arial" w:cs="Arial"/>
                <w:sz w:val="24"/>
                <w:szCs w:val="24"/>
              </w:rPr>
              <w:t xml:space="preserve">The delivery time must be less than </w:t>
            </w:r>
            <w:r w:rsidRPr="001C3642">
              <w:rPr>
                <w:rFonts w:ascii="Arial" w:hAnsi="Arial" w:cs="Arial"/>
                <w:sz w:val="24"/>
                <w:szCs w:val="24"/>
              </w:rPr>
              <w:t>1</w:t>
            </w:r>
            <w:r w:rsidR="004352C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23CD">
              <w:rPr>
                <w:rFonts w:ascii="Arial" w:hAnsi="Arial" w:cs="Arial"/>
                <w:sz w:val="24"/>
                <w:szCs w:val="24"/>
              </w:rPr>
              <w:t>calendar days from submission of the purchase order.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47A2" w14:textId="55F7D6A1" w:rsidR="005E7671" w:rsidRPr="001C3642" w:rsidRDefault="005A1A76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642">
              <w:rPr>
                <w:rFonts w:ascii="Arial" w:hAnsi="Arial" w:cs="Arial"/>
                <w:sz w:val="24"/>
                <w:szCs w:val="24"/>
              </w:rPr>
              <w:t>SHALL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3B7" w14:textId="77777777" w:rsidR="005E7671" w:rsidRPr="001C3642" w:rsidRDefault="005E7671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05C" w14:textId="77777777" w:rsidR="005E7671" w:rsidRPr="001C3642" w:rsidRDefault="005E7671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AD5" w14:textId="77777777" w:rsidR="005E7671" w:rsidRPr="001C3642" w:rsidRDefault="005E7671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D2C" w14:textId="77777777" w:rsidR="005E7671" w:rsidRPr="001C3642" w:rsidRDefault="005E7671" w:rsidP="00F3144D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A1C662" w14:textId="77777777" w:rsidR="00A01280" w:rsidRPr="00170EC1" w:rsidRDefault="00A01280" w:rsidP="00F3144D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14:paraId="0CA1C663" w14:textId="77777777" w:rsidR="00A01280" w:rsidRPr="00170EC1" w:rsidRDefault="00A01280" w:rsidP="00F3144D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325C2" w14:textId="77777777" w:rsidR="00390726" w:rsidRDefault="00390726" w:rsidP="00554DDE">
      <w:pPr>
        <w:spacing w:after="0" w:line="240" w:lineRule="auto"/>
      </w:pPr>
      <w:r>
        <w:separator/>
      </w:r>
    </w:p>
  </w:endnote>
  <w:endnote w:type="continuationSeparator" w:id="0">
    <w:p w14:paraId="28F2EBCB" w14:textId="77777777" w:rsidR="00390726" w:rsidRDefault="00390726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BF646F">
              <w:rPr>
                <w:noProof/>
                <w:sz w:val="20"/>
                <w:szCs w:val="20"/>
              </w:rPr>
              <w:t>1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BF646F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8AFF5" w14:textId="77777777" w:rsidR="00390726" w:rsidRDefault="00390726" w:rsidP="00554DDE">
      <w:pPr>
        <w:spacing w:after="0" w:line="240" w:lineRule="auto"/>
      </w:pPr>
      <w:r>
        <w:separator/>
      </w:r>
    </w:p>
  </w:footnote>
  <w:footnote w:type="continuationSeparator" w:id="0">
    <w:p w14:paraId="54E73612" w14:textId="77777777" w:rsidR="00390726" w:rsidRDefault="00390726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57CFF4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A3460"/>
    <w:multiLevelType w:val="hybridMultilevel"/>
    <w:tmpl w:val="69707C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E17003"/>
    <w:multiLevelType w:val="hybridMultilevel"/>
    <w:tmpl w:val="2B5E1E1A"/>
    <w:lvl w:ilvl="0" w:tplc="6B809F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4A3ED9"/>
    <w:multiLevelType w:val="hybridMultilevel"/>
    <w:tmpl w:val="BCE2DC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83D63"/>
    <w:multiLevelType w:val="hybridMultilevel"/>
    <w:tmpl w:val="21643BA8"/>
    <w:lvl w:ilvl="0" w:tplc="EBB4F66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6A6733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6"/>
  </w:num>
  <w:num w:numId="8">
    <w:abstractNumId w:val="21"/>
  </w:num>
  <w:num w:numId="9">
    <w:abstractNumId w:val="12"/>
  </w:num>
  <w:num w:numId="10">
    <w:abstractNumId w:val="11"/>
  </w:num>
  <w:num w:numId="11">
    <w:abstractNumId w:val="5"/>
  </w:num>
  <w:num w:numId="12">
    <w:abstractNumId w:val="13"/>
  </w:num>
  <w:num w:numId="13">
    <w:abstractNumId w:val="9"/>
  </w:num>
  <w:num w:numId="14">
    <w:abstractNumId w:val="14"/>
  </w:num>
  <w:num w:numId="15">
    <w:abstractNumId w:val="8"/>
  </w:num>
  <w:num w:numId="16">
    <w:abstractNumId w:val="18"/>
  </w:num>
  <w:num w:numId="17">
    <w:abstractNumId w:val="20"/>
  </w:num>
  <w:num w:numId="18">
    <w:abstractNumId w:val="0"/>
    <w:lvlOverride w:ilvl="0">
      <w:startOverride w:val="1"/>
    </w:lvlOverride>
  </w:num>
  <w:num w:numId="19">
    <w:abstractNumId w:val="17"/>
  </w:num>
  <w:num w:numId="20">
    <w:abstractNumId w:val="7"/>
  </w:num>
  <w:num w:numId="21">
    <w:abstractNumId w:val="4"/>
  </w:num>
  <w:num w:numId="22">
    <w:abstractNumId w:val="15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3551D"/>
    <w:rsid w:val="00061E0F"/>
    <w:rsid w:val="00080E7B"/>
    <w:rsid w:val="00082223"/>
    <w:rsid w:val="00084BC0"/>
    <w:rsid w:val="00092230"/>
    <w:rsid w:val="000942E9"/>
    <w:rsid w:val="000A43C8"/>
    <w:rsid w:val="000A7EA8"/>
    <w:rsid w:val="000B12CC"/>
    <w:rsid w:val="000B2943"/>
    <w:rsid w:val="000C3111"/>
    <w:rsid w:val="000D1A6B"/>
    <w:rsid w:val="000D740A"/>
    <w:rsid w:val="000E3EA6"/>
    <w:rsid w:val="000E59B0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3642"/>
    <w:rsid w:val="001C52FB"/>
    <w:rsid w:val="001D619A"/>
    <w:rsid w:val="001D744F"/>
    <w:rsid w:val="001E1037"/>
    <w:rsid w:val="001E1B09"/>
    <w:rsid w:val="001E5161"/>
    <w:rsid w:val="001F2460"/>
    <w:rsid w:val="00204BD1"/>
    <w:rsid w:val="00206ABD"/>
    <w:rsid w:val="002143C0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C405C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3259"/>
    <w:rsid w:val="00385607"/>
    <w:rsid w:val="003858FA"/>
    <w:rsid w:val="00390726"/>
    <w:rsid w:val="003B0D50"/>
    <w:rsid w:val="003E16E8"/>
    <w:rsid w:val="003E590B"/>
    <w:rsid w:val="003E5BC8"/>
    <w:rsid w:val="004033F7"/>
    <w:rsid w:val="00407DBC"/>
    <w:rsid w:val="00433A30"/>
    <w:rsid w:val="004352C9"/>
    <w:rsid w:val="00440EA4"/>
    <w:rsid w:val="00443DFA"/>
    <w:rsid w:val="0046128B"/>
    <w:rsid w:val="004629E0"/>
    <w:rsid w:val="00467C17"/>
    <w:rsid w:val="00477133"/>
    <w:rsid w:val="00481762"/>
    <w:rsid w:val="004874D7"/>
    <w:rsid w:val="00493F46"/>
    <w:rsid w:val="00497CC4"/>
    <w:rsid w:val="004A72B7"/>
    <w:rsid w:val="004B2504"/>
    <w:rsid w:val="004B7D3C"/>
    <w:rsid w:val="004C0A5C"/>
    <w:rsid w:val="004C3778"/>
    <w:rsid w:val="004E5DA0"/>
    <w:rsid w:val="004F0AAE"/>
    <w:rsid w:val="00554DDE"/>
    <w:rsid w:val="0055733D"/>
    <w:rsid w:val="00576617"/>
    <w:rsid w:val="005A1A76"/>
    <w:rsid w:val="005A6921"/>
    <w:rsid w:val="005C6E1C"/>
    <w:rsid w:val="005D21AA"/>
    <w:rsid w:val="005D28CB"/>
    <w:rsid w:val="005D3609"/>
    <w:rsid w:val="005E5E0A"/>
    <w:rsid w:val="005E7671"/>
    <w:rsid w:val="005F2B23"/>
    <w:rsid w:val="00612AEA"/>
    <w:rsid w:val="00614513"/>
    <w:rsid w:val="00617024"/>
    <w:rsid w:val="00620B80"/>
    <w:rsid w:val="00622FC1"/>
    <w:rsid w:val="00626E28"/>
    <w:rsid w:val="00647801"/>
    <w:rsid w:val="00654CC5"/>
    <w:rsid w:val="00665DDE"/>
    <w:rsid w:val="006804A8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0DCE"/>
    <w:rsid w:val="006E3D4E"/>
    <w:rsid w:val="006E46D1"/>
    <w:rsid w:val="006E4B05"/>
    <w:rsid w:val="006E4B71"/>
    <w:rsid w:val="007039F1"/>
    <w:rsid w:val="00717355"/>
    <w:rsid w:val="00721696"/>
    <w:rsid w:val="0073158D"/>
    <w:rsid w:val="0073613F"/>
    <w:rsid w:val="007363C2"/>
    <w:rsid w:val="00740A94"/>
    <w:rsid w:val="00747341"/>
    <w:rsid w:val="00754286"/>
    <w:rsid w:val="007555D8"/>
    <w:rsid w:val="00763A13"/>
    <w:rsid w:val="00766A4A"/>
    <w:rsid w:val="00767062"/>
    <w:rsid w:val="007718B4"/>
    <w:rsid w:val="007837A2"/>
    <w:rsid w:val="00784BED"/>
    <w:rsid w:val="007A39D1"/>
    <w:rsid w:val="007A51F1"/>
    <w:rsid w:val="007B27EF"/>
    <w:rsid w:val="007C2E9E"/>
    <w:rsid w:val="007C6430"/>
    <w:rsid w:val="007D419C"/>
    <w:rsid w:val="007D5D1C"/>
    <w:rsid w:val="008026EB"/>
    <w:rsid w:val="008071E5"/>
    <w:rsid w:val="008173CB"/>
    <w:rsid w:val="00822134"/>
    <w:rsid w:val="00837B2D"/>
    <w:rsid w:val="00843FC8"/>
    <w:rsid w:val="0084417D"/>
    <w:rsid w:val="00852B32"/>
    <w:rsid w:val="0085488D"/>
    <w:rsid w:val="00867CF6"/>
    <w:rsid w:val="0087169B"/>
    <w:rsid w:val="00872374"/>
    <w:rsid w:val="00874DC3"/>
    <w:rsid w:val="008A18B6"/>
    <w:rsid w:val="008A2E94"/>
    <w:rsid w:val="008A3E9E"/>
    <w:rsid w:val="008B157F"/>
    <w:rsid w:val="008C5D9C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45BDB"/>
    <w:rsid w:val="00953FB7"/>
    <w:rsid w:val="00962224"/>
    <w:rsid w:val="009636CA"/>
    <w:rsid w:val="00967219"/>
    <w:rsid w:val="009752DB"/>
    <w:rsid w:val="00976C10"/>
    <w:rsid w:val="00977813"/>
    <w:rsid w:val="00980033"/>
    <w:rsid w:val="00982881"/>
    <w:rsid w:val="009949FC"/>
    <w:rsid w:val="009A7BA7"/>
    <w:rsid w:val="009B5414"/>
    <w:rsid w:val="009C3A6C"/>
    <w:rsid w:val="009C47CC"/>
    <w:rsid w:val="009E6D1E"/>
    <w:rsid w:val="00A01280"/>
    <w:rsid w:val="00A0313E"/>
    <w:rsid w:val="00A163E7"/>
    <w:rsid w:val="00A218D0"/>
    <w:rsid w:val="00A21D16"/>
    <w:rsid w:val="00A37F55"/>
    <w:rsid w:val="00A43A09"/>
    <w:rsid w:val="00A51471"/>
    <w:rsid w:val="00A51B34"/>
    <w:rsid w:val="00A51E76"/>
    <w:rsid w:val="00A5283D"/>
    <w:rsid w:val="00A71A08"/>
    <w:rsid w:val="00A726AD"/>
    <w:rsid w:val="00A73521"/>
    <w:rsid w:val="00A80287"/>
    <w:rsid w:val="00A81115"/>
    <w:rsid w:val="00A82E4D"/>
    <w:rsid w:val="00A85881"/>
    <w:rsid w:val="00A91138"/>
    <w:rsid w:val="00AA41E5"/>
    <w:rsid w:val="00AA5E2D"/>
    <w:rsid w:val="00AD4BD3"/>
    <w:rsid w:val="00AE7F9E"/>
    <w:rsid w:val="00B06FAE"/>
    <w:rsid w:val="00B11CC5"/>
    <w:rsid w:val="00B277FB"/>
    <w:rsid w:val="00B34C3D"/>
    <w:rsid w:val="00B40DFF"/>
    <w:rsid w:val="00B51208"/>
    <w:rsid w:val="00B701C0"/>
    <w:rsid w:val="00B91B88"/>
    <w:rsid w:val="00B9586D"/>
    <w:rsid w:val="00B9740F"/>
    <w:rsid w:val="00BA076C"/>
    <w:rsid w:val="00BA1458"/>
    <w:rsid w:val="00BB0FE0"/>
    <w:rsid w:val="00BB5C07"/>
    <w:rsid w:val="00BD4E5D"/>
    <w:rsid w:val="00BE4668"/>
    <w:rsid w:val="00BE6D0D"/>
    <w:rsid w:val="00BF604B"/>
    <w:rsid w:val="00BF646F"/>
    <w:rsid w:val="00C009E9"/>
    <w:rsid w:val="00C1277F"/>
    <w:rsid w:val="00C13623"/>
    <w:rsid w:val="00C25CA1"/>
    <w:rsid w:val="00C31634"/>
    <w:rsid w:val="00C432B7"/>
    <w:rsid w:val="00C52F59"/>
    <w:rsid w:val="00C574FC"/>
    <w:rsid w:val="00C66A98"/>
    <w:rsid w:val="00C71B90"/>
    <w:rsid w:val="00C751AD"/>
    <w:rsid w:val="00CB4E08"/>
    <w:rsid w:val="00CB7CFF"/>
    <w:rsid w:val="00CC79B8"/>
    <w:rsid w:val="00D00526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3FC0"/>
    <w:rsid w:val="00DE432A"/>
    <w:rsid w:val="00DE5A09"/>
    <w:rsid w:val="00DF6986"/>
    <w:rsid w:val="00E04E77"/>
    <w:rsid w:val="00E06CE5"/>
    <w:rsid w:val="00E11DEE"/>
    <w:rsid w:val="00E13B15"/>
    <w:rsid w:val="00E15E49"/>
    <w:rsid w:val="00E16A5B"/>
    <w:rsid w:val="00E17A4E"/>
    <w:rsid w:val="00E31513"/>
    <w:rsid w:val="00E32518"/>
    <w:rsid w:val="00E47580"/>
    <w:rsid w:val="00E600E3"/>
    <w:rsid w:val="00E6087D"/>
    <w:rsid w:val="00E6135D"/>
    <w:rsid w:val="00E634CE"/>
    <w:rsid w:val="00E6639F"/>
    <w:rsid w:val="00E952D5"/>
    <w:rsid w:val="00EA0093"/>
    <w:rsid w:val="00EB1BB4"/>
    <w:rsid w:val="00EB4466"/>
    <w:rsid w:val="00EC15D4"/>
    <w:rsid w:val="00EC4ECF"/>
    <w:rsid w:val="00ED07E5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44D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63CD0"/>
    <w:rsid w:val="00F819B0"/>
    <w:rsid w:val="00F86048"/>
    <w:rsid w:val="00FA156D"/>
    <w:rsid w:val="00FA442B"/>
    <w:rsid w:val="00FB01CE"/>
    <w:rsid w:val="00FC7C6F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1C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77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77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778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778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78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778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778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78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778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78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7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778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778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778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78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778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778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78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77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77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778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778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78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778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778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78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778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78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7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778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778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778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78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778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778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78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D29EE4-5491-48FE-B66D-70F7B066B3B1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92a7b62-18c2-4926-a891-55c0c57152a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8620771-FC4F-4DD3-821B-FDBA4D2CA9E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EEF7C3D-4759-4AA6-A057-F086EA83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6EAB703F</Template>
  <TotalTime>0</TotalTime>
  <Pages>4</Pages>
  <Words>309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2019-11-05T09:11:00Z</cp:lastPrinted>
  <dcterms:created xsi:type="dcterms:W3CDTF">2020-02-19T09:35:00Z</dcterms:created>
  <dcterms:modified xsi:type="dcterms:W3CDTF">2020-02-19T09:35:00Z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949e1a09-2ab8-459f-9452-be50909ebb85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