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69FE36A" w:rsidR="00333919" w:rsidRPr="0068132D" w:rsidRDefault="00D21665" w:rsidP="00D21665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77FDA333" w:rsidR="00404937" w:rsidRPr="002442D7" w:rsidRDefault="00C46FE3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B</w:t>
      </w:r>
      <w:r w:rsidR="00D21665">
        <w:rPr>
          <w:rFonts w:ascii="Arial Black" w:hAnsi="Arial Black" w:cs="Arial"/>
          <w:sz w:val="32"/>
          <w:szCs w:val="32"/>
        </w:rPr>
        <w:t>indetråd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58865428" w14:textId="77777777" w:rsidR="00D21665" w:rsidRDefault="00D21665" w:rsidP="00D21665">
      <w:pPr>
        <w:pStyle w:val="Overskrift1"/>
        <w:numPr>
          <w:ilvl w:val="0"/>
          <w:numId w:val="0"/>
        </w:numPr>
        <w:spacing w:after="120"/>
        <w:ind w:left="567"/>
        <w:rPr>
          <w:rFonts w:ascii="Arial" w:hAnsi="Arial" w:cs="Arial"/>
          <w:sz w:val="24"/>
          <w:szCs w:val="24"/>
        </w:rPr>
      </w:pPr>
      <w:bookmarkStart w:id="0" w:name="_Toc403565842"/>
    </w:p>
    <w:p w14:paraId="682524F7" w14:textId="79088FEC" w:rsidR="00333919" w:rsidRPr="002442D7" w:rsidRDefault="002F25DA" w:rsidP="00D21665">
      <w:pPr>
        <w:pStyle w:val="Overskrift1"/>
        <w:spacing w:after="12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19F4D25B" w:rsidR="00B34F55" w:rsidRPr="00C46FE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46FE3">
        <w:rPr>
          <w:rFonts w:ascii="Arial" w:hAnsi="Arial" w:cs="Arial"/>
          <w:sz w:val="24"/>
          <w:szCs w:val="24"/>
        </w:rPr>
        <w:t>FMI</w:t>
      </w:r>
      <w:r w:rsidR="00536B5A" w:rsidRPr="00C46FE3">
        <w:rPr>
          <w:rFonts w:ascii="Arial" w:hAnsi="Arial" w:cs="Arial"/>
          <w:sz w:val="24"/>
          <w:szCs w:val="24"/>
        </w:rPr>
        <w:t>'s</w:t>
      </w:r>
      <w:proofErr w:type="spellEnd"/>
      <w:r w:rsidR="00536B5A" w:rsidRPr="00C46FE3">
        <w:rPr>
          <w:rFonts w:ascii="Arial" w:hAnsi="Arial" w:cs="Arial"/>
          <w:sz w:val="24"/>
          <w:szCs w:val="24"/>
        </w:rPr>
        <w:t xml:space="preserve"> </w:t>
      </w:r>
      <w:r w:rsidR="00CC307A" w:rsidRPr="00C46FE3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2A29BFE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C" w14:textId="2FA1C0F9" w:rsidR="00AE3824" w:rsidRPr="00D21665" w:rsidRDefault="00333919" w:rsidP="00D21665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238B8AEC" w:rsidR="00333919" w:rsidRPr="00C46FE3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C46FE3">
        <w:rPr>
          <w:rFonts w:ascii="Arial" w:hAnsi="Arial" w:cs="Arial"/>
          <w:sz w:val="24"/>
          <w:szCs w:val="24"/>
        </w:rPr>
        <w:t xml:space="preserve">Tildeling af </w:t>
      </w:r>
      <w:r w:rsidR="00CC307A" w:rsidRPr="00C46FE3">
        <w:rPr>
          <w:rFonts w:ascii="Arial" w:hAnsi="Arial" w:cs="Arial"/>
          <w:sz w:val="24"/>
          <w:szCs w:val="24"/>
        </w:rPr>
        <w:t xml:space="preserve">aftalen </w:t>
      </w:r>
      <w:r w:rsidRPr="00C46FE3">
        <w:rPr>
          <w:rFonts w:ascii="Arial" w:hAnsi="Arial" w:cs="Arial"/>
          <w:sz w:val="24"/>
          <w:szCs w:val="24"/>
        </w:rPr>
        <w:t>vil ske på grundlag af tildelingskriteriet "det økonomisk mest fordelagtige tilbud"</w:t>
      </w:r>
      <w:r w:rsidR="00D21665" w:rsidRPr="00C46FE3">
        <w:rPr>
          <w:rFonts w:ascii="Arial" w:hAnsi="Arial" w:cs="Arial"/>
          <w:sz w:val="24"/>
          <w:szCs w:val="24"/>
        </w:rPr>
        <w:t xml:space="preserve"> </w:t>
      </w:r>
      <w:r w:rsidRPr="00C46FE3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C46FE3">
        <w:rPr>
          <w:rFonts w:ascii="Arial" w:hAnsi="Arial" w:cs="Arial"/>
          <w:sz w:val="24"/>
          <w:szCs w:val="24"/>
        </w:rPr>
        <w:t>vægtede</w:t>
      </w:r>
      <w:r w:rsidR="00460DFC" w:rsidRPr="00C46FE3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C46FE3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3B5D3EAD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C46FE3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11847AFB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D21665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371C2F58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D21665">
        <w:rPr>
          <w:rFonts w:ascii="Arial" w:hAnsi="Arial" w:cs="Arial"/>
          <w:bCs w:val="0"/>
          <w:i/>
          <w:iCs/>
          <w:sz w:val="24"/>
          <w:szCs w:val="24"/>
        </w:rPr>
        <w:t>30 %</w:t>
      </w:r>
      <w:r w:rsidR="00CA43E5" w:rsidRPr="002442D7">
        <w:rPr>
          <w:rFonts w:ascii="Arial" w:hAnsi="Arial" w:cs="Arial"/>
          <w:i/>
          <w:sz w:val="24"/>
          <w:szCs w:val="24"/>
        </w:rPr>
        <w:t xml:space="preserve"> 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77777777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42D3356E" w14:textId="77777777" w:rsidR="00D21665" w:rsidRPr="002442D7" w:rsidRDefault="00D21665" w:rsidP="00D2166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BB58D0F" w14:textId="1021B6C4" w:rsidR="00D21665" w:rsidRPr="002442D7" w:rsidRDefault="00D21665" w:rsidP="00D21665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>
        <w:rPr>
          <w:rFonts w:ascii="Arial" w:hAnsi="Arial" w:cs="Arial"/>
          <w:sz w:val="24"/>
          <w:szCs w:val="24"/>
        </w:rPr>
        <w:t xml:space="preserve">leveringstid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ved evalueringen af dette underkriterium.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B293A05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D21665">
        <w:rPr>
          <w:rFonts w:ascii="Arial" w:hAnsi="Arial" w:cs="Arial"/>
          <w:sz w:val="24"/>
          <w:szCs w:val="24"/>
        </w:rPr>
        <w:t>end</w:t>
      </w:r>
      <w:r w:rsidR="007A363A" w:rsidRPr="00D21665">
        <w:rPr>
          <w:rFonts w:ascii="Arial" w:hAnsi="Arial" w:cs="Arial"/>
          <w:sz w:val="24"/>
          <w:szCs w:val="24"/>
        </w:rPr>
        <w:t xml:space="preserve"> </w:t>
      </w:r>
      <w:r w:rsidR="00D21665" w:rsidRPr="00D21665">
        <w:rPr>
          <w:rFonts w:ascii="Arial" w:hAnsi="Arial" w:cs="Arial"/>
          <w:sz w:val="24"/>
          <w:szCs w:val="24"/>
        </w:rPr>
        <w:t xml:space="preserve">75 </w:t>
      </w:r>
      <w:r w:rsidR="00A94FBB" w:rsidRPr="00D21665">
        <w:rPr>
          <w:rFonts w:ascii="Arial" w:hAnsi="Arial" w:cs="Arial"/>
          <w:sz w:val="24"/>
          <w:szCs w:val="24"/>
        </w:rPr>
        <w:t>kalenderdage</w:t>
      </w:r>
      <w:r w:rsidR="00C006BB" w:rsidRPr="00D21665">
        <w:rPr>
          <w:rFonts w:ascii="Arial" w:hAnsi="Arial" w:cs="Arial"/>
          <w:sz w:val="24"/>
          <w:szCs w:val="24"/>
        </w:rPr>
        <w:t xml:space="preserve"> </w:t>
      </w:r>
      <w:r w:rsidR="001C0D01" w:rsidRPr="00D21665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2442D7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50B3840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D21665">
        <w:rPr>
          <w:rFonts w:ascii="Arial" w:hAnsi="Arial" w:cs="Arial"/>
          <w:sz w:val="24"/>
          <w:szCs w:val="24"/>
        </w:rPr>
        <w:t xml:space="preserve">samlede </w:t>
      </w:r>
      <w:r w:rsidR="00982B94" w:rsidRPr="00D21665">
        <w:rPr>
          <w:rFonts w:ascii="Arial" w:hAnsi="Arial" w:cs="Arial"/>
          <w:sz w:val="24"/>
          <w:szCs w:val="24"/>
        </w:rPr>
        <w:t>købesum</w:t>
      </w:r>
      <w:r w:rsidRPr="00D21665">
        <w:rPr>
          <w:rFonts w:ascii="Arial" w:hAnsi="Arial" w:cs="Arial"/>
          <w:sz w:val="24"/>
          <w:szCs w:val="24"/>
        </w:rPr>
        <w:t xml:space="preserve"> samt leveringstid</w:t>
      </w:r>
      <w:r w:rsidR="00982B94" w:rsidRPr="00D21665">
        <w:rPr>
          <w:rFonts w:ascii="Arial" w:hAnsi="Arial" w:cs="Arial"/>
          <w:sz w:val="24"/>
          <w:szCs w:val="24"/>
        </w:rPr>
        <w:t xml:space="preserve"> fra den</w:t>
      </w:r>
      <w:r w:rsidR="00982B94">
        <w:rPr>
          <w:rFonts w:ascii="Arial" w:hAnsi="Arial" w:cs="Arial"/>
          <w:sz w:val="24"/>
          <w:szCs w:val="24"/>
        </w:rPr>
        <w:t xml:space="preserve">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11AE4497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D21665" w:rsidRPr="00D21665">
        <w:rPr>
          <w:rFonts w:ascii="Arial" w:hAnsi="Arial" w:cs="Arial"/>
          <w:sz w:val="24"/>
          <w:szCs w:val="24"/>
        </w:rPr>
        <w:t>FMI-KTP-ID-TENDER-LA@mil.dk</w:t>
      </w:r>
      <w:r w:rsidR="00D21665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7E42D5F5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2E572D20" w:rsidR="000D2A3F" w:rsidRPr="00D21665" w:rsidRDefault="007D77AB" w:rsidP="00D52DF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21665">
        <w:rPr>
          <w:rFonts w:ascii="Arial" w:hAnsi="Arial" w:cs="Arial"/>
          <w:sz w:val="24"/>
          <w:szCs w:val="24"/>
        </w:rPr>
        <w:t xml:space="preserve">Udfyldt </w:t>
      </w:r>
      <w:r w:rsidR="004138EB" w:rsidRPr="00D21665">
        <w:rPr>
          <w:rFonts w:ascii="Arial" w:hAnsi="Arial" w:cs="Arial"/>
          <w:sz w:val="24"/>
          <w:szCs w:val="24"/>
        </w:rPr>
        <w:t>FMI</w:t>
      </w:r>
      <w:r w:rsidR="00CE0BC7" w:rsidRPr="00D21665">
        <w:rPr>
          <w:rFonts w:ascii="Arial" w:hAnsi="Arial" w:cs="Arial"/>
          <w:sz w:val="24"/>
          <w:szCs w:val="24"/>
        </w:rPr>
        <w:t xml:space="preserve"> </w:t>
      </w:r>
      <w:r w:rsidRPr="00D21665">
        <w:rPr>
          <w:rFonts w:ascii="Arial" w:hAnsi="Arial" w:cs="Arial"/>
          <w:sz w:val="24"/>
          <w:szCs w:val="24"/>
        </w:rPr>
        <w:t>kravspecifikation</w:t>
      </w:r>
    </w:p>
    <w:p w14:paraId="616AE9C8" w14:textId="77777777" w:rsidR="00D21665" w:rsidRPr="00D21665" w:rsidRDefault="00D21665" w:rsidP="00D21665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0E332B09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D21665" w:rsidRPr="00D21665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D21665">
        <w:rPr>
          <w:rFonts w:ascii="Arial" w:hAnsi="Arial" w:cs="Arial"/>
          <w:sz w:val="24"/>
          <w:szCs w:val="24"/>
        </w:rPr>
        <w:t>6. marts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="00D21665">
        <w:rPr>
          <w:rFonts w:ascii="Arial" w:hAnsi="Arial" w:cs="Arial"/>
          <w:sz w:val="24"/>
          <w:szCs w:val="24"/>
        </w:rPr>
        <w:t>13:00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1866B2A6" w:rsidR="00712600" w:rsidRPr="00B676D3" w:rsidRDefault="00D21665" w:rsidP="006A313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6A3136">
              <w:rPr>
                <w:rFonts w:ascii="Arial" w:hAnsi="Arial" w:cs="Arial"/>
                <w:sz w:val="22"/>
                <w:szCs w:val="24"/>
              </w:rPr>
              <w:t>3</w:t>
            </w:r>
            <w:bookmarkStart w:id="50" w:name="_GoBack"/>
            <w:bookmarkEnd w:id="50"/>
            <w:r>
              <w:rPr>
                <w:rFonts w:ascii="Arial" w:hAnsi="Arial" w:cs="Arial"/>
                <w:sz w:val="22"/>
                <w:szCs w:val="24"/>
              </w:rPr>
              <w:t>. februar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61C33703" w:rsidR="00712600" w:rsidRPr="00B676D3" w:rsidRDefault="00D21665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24. februar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18EB33DD" w:rsidR="00712600" w:rsidRPr="00B676D3" w:rsidRDefault="00D21665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D21665">
              <w:rPr>
                <w:rFonts w:ascii="Arial" w:hAnsi="Arial" w:cs="Arial"/>
                <w:sz w:val="22"/>
                <w:szCs w:val="24"/>
              </w:rPr>
              <w:t>2. marts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2053CB08" w:rsidR="00712600" w:rsidRPr="00B676D3" w:rsidRDefault="00D21665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6. marts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E09D" w14:textId="77777777" w:rsidR="00D76AB4" w:rsidRDefault="00D76AB4" w:rsidP="00333919">
      <w:pPr>
        <w:spacing w:line="240" w:lineRule="auto"/>
      </w:pPr>
      <w:r>
        <w:separator/>
      </w:r>
    </w:p>
  </w:endnote>
  <w:endnote w:type="continuationSeparator" w:id="0">
    <w:p w14:paraId="2996FA88" w14:textId="77777777" w:rsidR="00D76AB4" w:rsidRDefault="00D76AB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6A3136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6319" w14:textId="77777777" w:rsidR="00D76AB4" w:rsidRDefault="00D76AB4" w:rsidP="00333919">
      <w:pPr>
        <w:spacing w:line="240" w:lineRule="auto"/>
      </w:pPr>
      <w:r>
        <w:separator/>
      </w:r>
    </w:p>
  </w:footnote>
  <w:footnote w:type="continuationSeparator" w:id="0">
    <w:p w14:paraId="4D0D67C8" w14:textId="77777777" w:rsidR="00D76AB4" w:rsidRDefault="00D76AB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CB1AF41" w:rsidR="0045537E" w:rsidRDefault="00C46FE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492F753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A3136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46FE3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1665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6AB4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16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1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1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16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D216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1665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1665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1665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1665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1665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16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1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1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16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D216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1665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1665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1665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1665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1665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2a7b62-18c2-4926-a891-55c0c57152a8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14BA1-56E4-46F0-8C93-4934DA6A30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1B3F7A8-75D4-4299-AC68-CD9CCEAE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6A298FD2</Template>
  <TotalTime>0</TotalTime>
  <Pages>5</Pages>
  <Words>671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2020-02-13T10:46:00Z</dcterms:created>
  <dcterms:modified xsi:type="dcterms:W3CDTF">2020-02-13T11:01:00Z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