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0258" w14:textId="5249B5CF" w:rsidR="00BB000A" w:rsidRDefault="006E5321" w:rsidP="00BB000A">
      <w:pPr>
        <w:pStyle w:val="Overskrift2"/>
        <w:rPr>
          <w:b/>
        </w:rPr>
      </w:pPr>
      <w:bookmarkStart w:id="0" w:name="_Hlk31356093"/>
      <w:r w:rsidRPr="00216D16">
        <w:rPr>
          <w:b/>
        </w:rPr>
        <w:t>Bliv konsulent i Danmarks store projekt om grønne, cirkulære forretningsmodeller til</w:t>
      </w:r>
      <w:r>
        <w:t xml:space="preserve"> </w:t>
      </w:r>
      <w:r w:rsidR="00BB000A" w:rsidRPr="00BB000A">
        <w:rPr>
          <w:b/>
        </w:rPr>
        <w:t xml:space="preserve">SMV’er </w:t>
      </w:r>
    </w:p>
    <w:p w14:paraId="4AE7387B" w14:textId="77777777" w:rsidR="00BB000A" w:rsidRPr="00495BF6" w:rsidRDefault="00BB000A" w:rsidP="00495BF6"/>
    <w:p w14:paraId="2A7C0C73" w14:textId="402C3BFC" w:rsidR="00E7482A" w:rsidRPr="00B7418C" w:rsidRDefault="00E7482A" w:rsidP="00B7418C">
      <w:pPr>
        <w:pStyle w:val="Overskrift2"/>
        <w:rPr>
          <w:b/>
        </w:rPr>
      </w:pPr>
      <w:r w:rsidRPr="00B7418C">
        <w:rPr>
          <w:b/>
        </w:rPr>
        <w:t>Markedsafdækning forud for indgåelse af rammeaftaler med eksterne konsulenter</w:t>
      </w:r>
      <w:r w:rsidR="005C1BD7" w:rsidRPr="00B7418C">
        <w:rPr>
          <w:b/>
        </w:rPr>
        <w:t xml:space="preserve"> til projektet ’</w:t>
      </w:r>
      <w:bookmarkStart w:id="1" w:name="_GoBack"/>
      <w:bookmarkEnd w:id="1"/>
      <w:r w:rsidR="00FA3CC7" w:rsidRPr="00FA3CC7">
        <w:rPr>
          <w:b/>
        </w:rPr>
        <w:t>Grøn Cirkulær Omstilling</w:t>
      </w:r>
      <w:r w:rsidR="00AA5030">
        <w:rPr>
          <w:b/>
        </w:rPr>
        <w:t xml:space="preserve"> (GCO)</w:t>
      </w:r>
      <w:r w:rsidR="005C1BD7" w:rsidRPr="00B7418C">
        <w:rPr>
          <w:b/>
        </w:rPr>
        <w:t>’</w:t>
      </w:r>
    </w:p>
    <w:p w14:paraId="73F6560A" w14:textId="77777777" w:rsidR="00E7482A" w:rsidRDefault="00E7482A" w:rsidP="00E7482A"/>
    <w:p w14:paraId="4C4FBBA9" w14:textId="77777777" w:rsidR="00E7482A" w:rsidRDefault="00E7482A" w:rsidP="00B7418C">
      <w:pPr>
        <w:pStyle w:val="Overskrift2"/>
      </w:pPr>
      <w:r>
        <w:t xml:space="preserve">Om </w:t>
      </w:r>
      <w:r w:rsidR="005C1BD7">
        <w:t>projektet</w:t>
      </w:r>
    </w:p>
    <w:p w14:paraId="29DF3051" w14:textId="30DBAD4C" w:rsidR="00E7482A" w:rsidRDefault="00AA5030" w:rsidP="00E7482A">
      <w:r>
        <w:t xml:space="preserve">CLEAN og </w:t>
      </w:r>
      <w:proofErr w:type="spellStart"/>
      <w:r w:rsidR="005C1BD7">
        <w:t>Lifestyle</w:t>
      </w:r>
      <w:proofErr w:type="spellEnd"/>
      <w:r w:rsidR="005C1BD7">
        <w:t xml:space="preserve"> &amp; Design Cluster</w:t>
      </w:r>
      <w:r w:rsidR="00E7482A">
        <w:t xml:space="preserve"> (</w:t>
      </w:r>
      <w:r w:rsidR="005C1BD7">
        <w:t>LDC</w:t>
      </w:r>
      <w:r w:rsidR="00E7482A">
        <w:t>) gennemfører</w:t>
      </w:r>
      <w:r w:rsidR="006E5321">
        <w:t xml:space="preserve"> sammen med 14 partnere</w:t>
      </w:r>
      <w:r w:rsidR="00E7482A">
        <w:t xml:space="preserve"> </w:t>
      </w:r>
      <w:r w:rsidR="00FA3CC7">
        <w:t xml:space="preserve">i </w:t>
      </w:r>
      <w:r w:rsidR="00E7482A">
        <w:t xml:space="preserve">tidsperioden </w:t>
      </w:r>
      <w:r w:rsidR="006E5321">
        <w:t xml:space="preserve">februar </w:t>
      </w:r>
      <w:r w:rsidR="00E7482A">
        <w:t>20</w:t>
      </w:r>
      <w:r w:rsidR="00FA3CC7">
        <w:t>20</w:t>
      </w:r>
      <w:r w:rsidR="00E7482A">
        <w:t xml:space="preserve"> til </w:t>
      </w:r>
      <w:r w:rsidR="00FA3CC7">
        <w:t xml:space="preserve">december </w:t>
      </w:r>
      <w:r w:rsidR="00E7482A">
        <w:t>202</w:t>
      </w:r>
      <w:r w:rsidR="00FA3CC7">
        <w:t>2</w:t>
      </w:r>
      <w:r w:rsidR="00E7482A">
        <w:t xml:space="preserve"> projektet</w:t>
      </w:r>
      <w:r w:rsidR="005C1BD7">
        <w:t xml:space="preserve"> </w:t>
      </w:r>
      <w:r w:rsidR="006E5321">
        <w:t>”Grøn Cirkulær Omstilling i SMV’er”</w:t>
      </w:r>
      <w:r>
        <w:t>.</w:t>
      </w:r>
    </w:p>
    <w:p w14:paraId="2F01FACD" w14:textId="770FDAC0" w:rsidR="00507DA1" w:rsidRDefault="00B929B3" w:rsidP="00E7482A">
      <w:r>
        <w:t>I alt skal 458 virksomheder ende ud med en grøn cirkulær forretningsmodel og projektets forløb</w:t>
      </w:r>
      <w:r w:rsidR="002E4ECD">
        <w:t xml:space="preserve"> </w:t>
      </w:r>
      <w:r w:rsidR="00FA3CC7" w:rsidRPr="00FA3CC7">
        <w:t>har løbende ansøgningsfrister</w:t>
      </w:r>
      <w:r w:rsidR="00E7482A">
        <w:t xml:space="preserve">. </w:t>
      </w:r>
      <w:r w:rsidR="002E4ECD">
        <w:t>Deltagende v</w:t>
      </w:r>
      <w:r w:rsidR="00E7482A">
        <w:t>irksomhederne</w:t>
      </w:r>
      <w:r w:rsidR="00507DA1" w:rsidRPr="00507DA1">
        <w:t xml:space="preserve"> </w:t>
      </w:r>
      <w:r w:rsidR="00507DA1">
        <w:t xml:space="preserve">må </w:t>
      </w:r>
      <w:r w:rsidR="00507DA1" w:rsidRPr="00507DA1">
        <w:t>højst</w:t>
      </w:r>
      <w:r w:rsidR="00507DA1">
        <w:t xml:space="preserve"> have</w:t>
      </w:r>
      <w:r w:rsidR="00507DA1" w:rsidRPr="00507DA1">
        <w:t xml:space="preserve"> 250 medarbejdere og en omsætning på maks. 50 mio. EUR</w:t>
      </w:r>
      <w:r w:rsidR="00507DA1">
        <w:t>.</w:t>
      </w:r>
    </w:p>
    <w:p w14:paraId="713B2AC8" w14:textId="388A56A0" w:rsidR="00507DA1" w:rsidRDefault="00507DA1" w:rsidP="00E7482A">
      <w:r>
        <w:t xml:space="preserve">Virksomheden kan efter screening og godkendelse deltage i følgende forløb: </w:t>
      </w:r>
    </w:p>
    <w:p w14:paraId="4FCA3554" w14:textId="16FE024E" w:rsidR="00495BF6" w:rsidRDefault="00507DA1" w:rsidP="006E5321">
      <w:pPr>
        <w:pStyle w:val="Listeafsnit"/>
        <w:numPr>
          <w:ilvl w:val="0"/>
          <w:numId w:val="9"/>
        </w:numPr>
      </w:pPr>
      <w:r w:rsidRPr="00507DA1">
        <w:t>Individuelt forløb: en fagkyndig konsulent hjælper virksomheden med at udvikle en grøn cirkulær forretningsmodel.  Værdi op til 90.000 kr. og virksomheden bruger ca. 380 udviklingstimer.</w:t>
      </w:r>
    </w:p>
    <w:p w14:paraId="0FF2B84F" w14:textId="5FA49F2E" w:rsidR="00507DA1" w:rsidRDefault="00507DA1" w:rsidP="006E5321">
      <w:pPr>
        <w:pStyle w:val="Listeafsnit"/>
        <w:numPr>
          <w:ilvl w:val="0"/>
          <w:numId w:val="9"/>
        </w:numPr>
      </w:pPr>
      <w:r w:rsidRPr="00507DA1">
        <w:t>Kollektivt forløb:  virksomheden får sammen med andre virksomheder udviklet en grøn cirkulær forretningsmodel med fokus på samarbejdsmuligheder eller fælles faglige interesser/udfordringer. Antal af udviklingstimer afhænger af forløbets sammensætning</w:t>
      </w:r>
      <w:r>
        <w:t>.</w:t>
      </w:r>
    </w:p>
    <w:p w14:paraId="497B8094" w14:textId="78C7528A" w:rsidR="00507DA1" w:rsidRDefault="00507DA1" w:rsidP="006E5321">
      <w:pPr>
        <w:pStyle w:val="Listeafsnit"/>
        <w:numPr>
          <w:ilvl w:val="0"/>
          <w:numId w:val="9"/>
        </w:numPr>
      </w:pPr>
      <w:r w:rsidRPr="00507DA1">
        <w:t>Sprintforløb: et kortvarigt produkt- og procesudviklingsforløb, hvor virksomheden sammen med 4 andre virksomheder identificerer innovative løsninger baseret på konkrete behov og udfordringer og får udviklet en grøn cirkulær forretningsmodel. Forløbet varer maks. 2 mdr. med fælles arbejdsdage ca. hver uge.</w:t>
      </w:r>
    </w:p>
    <w:p w14:paraId="724D58CE" w14:textId="467608F7" w:rsidR="0068076A" w:rsidRDefault="00507DA1" w:rsidP="00E7482A">
      <w:r>
        <w:t>Den grønne cirkulære forretningsmodel udvikles</w:t>
      </w:r>
      <w:r w:rsidR="0068076A">
        <w:t xml:space="preserve"> i tæt samarbejde med en konsulent med relevant faglig</w:t>
      </w:r>
      <w:r w:rsidR="002A7DE2">
        <w:t>e</w:t>
      </w:r>
      <w:r w:rsidR="0068076A">
        <w:t xml:space="preserve"> kompetencer. </w:t>
      </w:r>
      <w:r w:rsidR="001F7CB7">
        <w:t>Et forløb kan bl.a. have fokus på udvikling og afprøvning af nye koncepter og forretningsmodeller samt nye og eksisterende teknologier eller forretningsmæssige potentialer ved cirkulært design, produktafprøvning, plastgenanvendelse m.m.</w:t>
      </w:r>
    </w:p>
    <w:p w14:paraId="1C54DEAF" w14:textId="5934D326" w:rsidR="00E7482A" w:rsidRDefault="0068076A" w:rsidP="00E7482A">
      <w:r>
        <w:t>Første projektrunde</w:t>
      </w:r>
      <w:r w:rsidR="00E7482A">
        <w:t xml:space="preserve"> starte</w:t>
      </w:r>
      <w:r>
        <w:t>r</w:t>
      </w:r>
      <w:r w:rsidR="00AA5030">
        <w:t xml:space="preserve"> april</w:t>
      </w:r>
      <w:r>
        <w:t xml:space="preserve"> / </w:t>
      </w:r>
      <w:r w:rsidR="00AA5030">
        <w:t>maj</w:t>
      </w:r>
      <w:r w:rsidR="00E7482A">
        <w:t xml:space="preserve"> 20</w:t>
      </w:r>
      <w:r w:rsidR="00AA5030">
        <w:t>20</w:t>
      </w:r>
      <w:r>
        <w:t>. R</w:t>
      </w:r>
      <w:r w:rsidR="00E7482A">
        <w:t>ekruttering</w:t>
      </w:r>
      <w:r>
        <w:t xml:space="preserve"> af de deltagende virksomheder</w:t>
      </w:r>
      <w:r w:rsidR="00E7482A">
        <w:t xml:space="preserve"> er påbegyndt</w:t>
      </w:r>
      <w:r w:rsidR="00AA5030">
        <w:t>.</w:t>
      </w:r>
    </w:p>
    <w:p w14:paraId="7EEF9F2F" w14:textId="0390629C" w:rsidR="00E7482A" w:rsidRDefault="00E7482A" w:rsidP="00E7482A">
      <w:r>
        <w:t xml:space="preserve">Projektets samlede budget </w:t>
      </w:r>
      <w:r w:rsidR="0068076A">
        <w:t xml:space="preserve">er </w:t>
      </w:r>
      <w:r>
        <w:t xml:space="preserve">finansieret dels af midler fra EU's Regionalfond, </w:t>
      </w:r>
      <w:r w:rsidR="0068076A">
        <w:t>dels af værdien af de deltagende virksomheders egen arbejdstid anvendt i projektet.</w:t>
      </w:r>
    </w:p>
    <w:p w14:paraId="49BAD672" w14:textId="1F92D57E" w:rsidR="00B7418C" w:rsidRDefault="00B7418C" w:rsidP="00247344">
      <w:r>
        <w:t>P</w:t>
      </w:r>
      <w:r w:rsidR="00247344">
        <w:t>rojekt</w:t>
      </w:r>
      <w:r>
        <w:t>et</w:t>
      </w:r>
      <w:r w:rsidR="00247344">
        <w:t xml:space="preserve"> har til formål at give den deltagende v</w:t>
      </w:r>
      <w:r>
        <w:t>irksomhed:</w:t>
      </w:r>
    </w:p>
    <w:p w14:paraId="37A510EA" w14:textId="77777777" w:rsidR="00563FD3" w:rsidRPr="00563FD3" w:rsidRDefault="00563FD3" w:rsidP="00563FD3">
      <w:pPr>
        <w:numPr>
          <w:ilvl w:val="0"/>
          <w:numId w:val="8"/>
        </w:numPr>
      </w:pPr>
      <w:r w:rsidRPr="00563FD3">
        <w:t xml:space="preserve">En konkret plan for, hvordan virksomheden kan arbejde mere cirkulært </w:t>
      </w:r>
    </w:p>
    <w:p w14:paraId="5286A557" w14:textId="77777777" w:rsidR="00563FD3" w:rsidRPr="00563FD3" w:rsidRDefault="00563FD3" w:rsidP="00563FD3">
      <w:pPr>
        <w:numPr>
          <w:ilvl w:val="0"/>
          <w:numId w:val="8"/>
        </w:numPr>
      </w:pPr>
      <w:r w:rsidRPr="00563FD3">
        <w:t xml:space="preserve">Udvikling af nye forretningsmæssige potentialer </w:t>
      </w:r>
    </w:p>
    <w:p w14:paraId="1281EDA0" w14:textId="77777777" w:rsidR="00563FD3" w:rsidRPr="00563FD3" w:rsidRDefault="00563FD3" w:rsidP="00563FD3">
      <w:pPr>
        <w:numPr>
          <w:ilvl w:val="0"/>
          <w:numId w:val="8"/>
        </w:numPr>
      </w:pPr>
      <w:r w:rsidRPr="00563FD3">
        <w:t xml:space="preserve">Konkurrencemæssige fordele og forberedelse til fremtidens øgede krav om bæredygtig fremstilling, produkter, emballager og logistik.  </w:t>
      </w:r>
    </w:p>
    <w:p w14:paraId="1D85BFA3" w14:textId="77777777" w:rsidR="00563FD3" w:rsidRPr="00563FD3" w:rsidRDefault="00563FD3" w:rsidP="00563FD3">
      <w:pPr>
        <w:numPr>
          <w:ilvl w:val="0"/>
          <w:numId w:val="8"/>
        </w:numPr>
      </w:pPr>
      <w:r w:rsidRPr="00563FD3">
        <w:t xml:space="preserve">Professionel branchekyndig rådgivning som ser på virksomhedens ressourceanvendelse med nye øjne </w:t>
      </w:r>
    </w:p>
    <w:p w14:paraId="2F157FA5" w14:textId="77777777" w:rsidR="00563FD3" w:rsidRPr="00563FD3" w:rsidRDefault="00563FD3" w:rsidP="00563FD3">
      <w:pPr>
        <w:numPr>
          <w:ilvl w:val="0"/>
          <w:numId w:val="8"/>
        </w:numPr>
      </w:pPr>
      <w:r w:rsidRPr="00563FD3">
        <w:lastRenderedPageBreak/>
        <w:t>Efterfølgende mulighed for at opnå tilskud til investering i implementeringen af en grøn cirkulær forretningsmodel</w:t>
      </w:r>
    </w:p>
    <w:p w14:paraId="61B0FAE2" w14:textId="46495659" w:rsidR="00B7418C" w:rsidRDefault="002529CF" w:rsidP="00E7482A">
      <w:r>
        <w:t xml:space="preserve">Læs mere om GCO på projektets hjemmeside: </w:t>
      </w:r>
      <w:hyperlink r:id="rId6" w:history="1">
        <w:r w:rsidRPr="002529CF">
          <w:rPr>
            <w:rStyle w:val="Hyperlink"/>
          </w:rPr>
          <w:t>https://groenogcirkulaer.dk/</w:t>
        </w:r>
      </w:hyperlink>
      <w:r>
        <w:t xml:space="preserve">  </w:t>
      </w:r>
    </w:p>
    <w:p w14:paraId="5D958D89" w14:textId="77777777" w:rsidR="00E7482A" w:rsidRDefault="00E7482A" w:rsidP="00B7418C">
      <w:pPr>
        <w:pStyle w:val="Overskrift2"/>
      </w:pPr>
      <w:r>
        <w:t>Om markedsafdækningen</w:t>
      </w:r>
    </w:p>
    <w:p w14:paraId="4D63AE04" w14:textId="59A8480D" w:rsidR="00E7482A" w:rsidRDefault="00B7418C" w:rsidP="00E7482A">
      <w:r>
        <w:t>Som led i</w:t>
      </w:r>
      <w:r w:rsidR="00E7482A">
        <w:t xml:space="preserve"> gennemførelse af projekt</w:t>
      </w:r>
      <w:r>
        <w:t>et</w:t>
      </w:r>
      <w:r w:rsidR="00E7482A">
        <w:t xml:space="preserve"> ønsker </w:t>
      </w:r>
      <w:r w:rsidR="00AA5030">
        <w:t xml:space="preserve">CLEAN og </w:t>
      </w:r>
      <w:r>
        <w:t>LDC</w:t>
      </w:r>
      <w:r w:rsidR="00E7482A">
        <w:t xml:space="preserve"> at </w:t>
      </w:r>
      <w:r>
        <w:t xml:space="preserve">invitere konsulenter med relevant viden og kompetence </w:t>
      </w:r>
      <w:r w:rsidR="0031293B">
        <w:t>til at ansøge om at blive forhåndsgodkendt som konsulent i projektet</w:t>
      </w:r>
      <w:r>
        <w:t xml:space="preserve">. </w:t>
      </w:r>
      <w:r w:rsidR="00821708">
        <w:t xml:space="preserve">Vi søger fagkyndige konsulenter med viden og kompetencer indenfor analyse og rådgivning </w:t>
      </w:r>
      <w:r w:rsidR="00460D4F">
        <w:t>af</w:t>
      </w:r>
      <w:r w:rsidR="00821708">
        <w:t xml:space="preserve"> små og mellemstore virksomheders ressourceanvendelse og potentiale i forhold til cirkulære forretningsmodeller mm. Den ønskede konsulentydelse købes af den enkelte deltagende virksomhed, </w:t>
      </w:r>
      <w:r w:rsidR="009F6DAC">
        <w:t>så</w:t>
      </w:r>
      <w:r w:rsidR="00821708">
        <w:t xml:space="preserve"> samarbejdsaftale / kontrakt indgås mellem den enkelte konsulent og den enkelte deltagende virksomhed. </w:t>
      </w:r>
    </w:p>
    <w:p w14:paraId="0417A2DA" w14:textId="77777777" w:rsidR="00821708" w:rsidRDefault="00821708" w:rsidP="00E7482A">
      <w:r>
        <w:t>Konsulenter, som matcher de stillede krav, vil indgå i en pulje af konsulenter, som har mulighed for at blive bragt i forslag som rådgiver og samarbejdspartner for en eller flere deltagende virksomheder.</w:t>
      </w:r>
    </w:p>
    <w:p w14:paraId="19CF3F0B" w14:textId="7F9C813E" w:rsidR="00377CCB" w:rsidRDefault="00377CCB" w:rsidP="00E7482A">
      <w:r>
        <w:t xml:space="preserve">Konsulentens opgaver </w:t>
      </w:r>
      <w:r w:rsidR="00CB5A02">
        <w:t xml:space="preserve">vil </w:t>
      </w:r>
      <w:r>
        <w:t>blandt andet</w:t>
      </w:r>
      <w:r w:rsidR="00495BF6">
        <w:t xml:space="preserve"> omfatte følgende</w:t>
      </w:r>
      <w:r w:rsidR="00460D4F">
        <w:t>:</w:t>
      </w:r>
    </w:p>
    <w:p w14:paraId="0002E62C" w14:textId="33716B67" w:rsidR="00495BF6" w:rsidRDefault="0068115E" w:rsidP="00E30FEE">
      <w:pPr>
        <w:pStyle w:val="Listeafsnit"/>
        <w:numPr>
          <w:ilvl w:val="0"/>
          <w:numId w:val="5"/>
        </w:numPr>
      </w:pPr>
      <w:r>
        <w:t>Identifikation</w:t>
      </w:r>
      <w:r w:rsidR="00AA5030">
        <w:t xml:space="preserve"> af</w:t>
      </w:r>
      <w:r>
        <w:t xml:space="preserve"> </w:t>
      </w:r>
      <w:r w:rsidR="00AA5030">
        <w:t xml:space="preserve">muligheder </w:t>
      </w:r>
      <w:r>
        <w:t>for design af nye cirkulære produkter eller services</w:t>
      </w:r>
      <w:r w:rsidR="00235D7C">
        <w:t xml:space="preserve"> og afprøvning heraf.</w:t>
      </w:r>
    </w:p>
    <w:p w14:paraId="2ACB3B3E" w14:textId="3DCC9173" w:rsidR="00495BF6" w:rsidRDefault="00F40C7B" w:rsidP="00E30FEE">
      <w:pPr>
        <w:pStyle w:val="Listeafsnit"/>
        <w:numPr>
          <w:ilvl w:val="0"/>
          <w:numId w:val="5"/>
        </w:numPr>
      </w:pPr>
      <w:r>
        <w:t>Vurdering</w:t>
      </w:r>
      <w:r w:rsidR="00072830">
        <w:t xml:space="preserve"> af muligheder for anvendelse af biobaseret plast og </w:t>
      </w:r>
      <w:r w:rsidR="00235D7C">
        <w:t xml:space="preserve">indførsel af </w:t>
      </w:r>
      <w:r w:rsidR="00072830">
        <w:t>returordninger</w:t>
      </w:r>
      <w:r w:rsidR="00235D7C">
        <w:t>.</w:t>
      </w:r>
    </w:p>
    <w:p w14:paraId="3EB2452A" w14:textId="682FE29B" w:rsidR="00460D4F" w:rsidRDefault="00571518" w:rsidP="00E30FEE">
      <w:pPr>
        <w:pStyle w:val="Listeafsnit"/>
        <w:numPr>
          <w:ilvl w:val="0"/>
          <w:numId w:val="5"/>
        </w:numPr>
      </w:pPr>
      <w:r>
        <w:t>A</w:t>
      </w:r>
      <w:r w:rsidR="00460D4F">
        <w:t>nalyse af virksomhedens værdikæde og samlede ressourceanvendelse og udarbejdelse af ressourceprofil</w:t>
      </w:r>
      <w:r w:rsidR="00235D7C">
        <w:t>.</w:t>
      </w:r>
    </w:p>
    <w:p w14:paraId="581430A0" w14:textId="11D03574" w:rsidR="00460D4F" w:rsidRDefault="00571518" w:rsidP="00E30FEE">
      <w:pPr>
        <w:pStyle w:val="Listeafsnit"/>
        <w:numPr>
          <w:ilvl w:val="0"/>
          <w:numId w:val="5"/>
        </w:numPr>
      </w:pPr>
      <w:r>
        <w:t>I</w:t>
      </w:r>
      <w:r w:rsidR="00460D4F">
        <w:t>dentifikation af umiddelbare effektiviserings- og besparelsesmuligheder</w:t>
      </w:r>
      <w:r w:rsidR="00A33038">
        <w:t xml:space="preserve"> i virksomhedens værdikæde</w:t>
      </w:r>
      <w:r w:rsidR="00235D7C">
        <w:t>.</w:t>
      </w:r>
    </w:p>
    <w:p w14:paraId="199A5833" w14:textId="53F048A6" w:rsidR="00460D4F" w:rsidRDefault="00571518" w:rsidP="00E30FEE">
      <w:pPr>
        <w:pStyle w:val="Listeafsnit"/>
        <w:numPr>
          <w:ilvl w:val="0"/>
          <w:numId w:val="5"/>
        </w:numPr>
      </w:pPr>
      <w:r>
        <w:t>U</w:t>
      </w:r>
      <w:r w:rsidR="00460D4F">
        <w:t>dvikling af cirkulær forretningsmodel / cirkulært forretningsspor for virksomheden</w:t>
      </w:r>
      <w:r w:rsidR="00235D7C">
        <w:t>.</w:t>
      </w:r>
    </w:p>
    <w:p w14:paraId="5136497C" w14:textId="5EC40B1B" w:rsidR="00460D4F" w:rsidRDefault="00571518" w:rsidP="00E30FEE">
      <w:pPr>
        <w:pStyle w:val="Listeafsnit"/>
        <w:numPr>
          <w:ilvl w:val="0"/>
          <w:numId w:val="5"/>
        </w:numPr>
      </w:pPr>
      <w:r>
        <w:t>U</w:t>
      </w:r>
      <w:r w:rsidR="00460D4F">
        <w:t>darbejdelse af plan (</w:t>
      </w:r>
      <w:proofErr w:type="spellStart"/>
      <w:r w:rsidR="00460D4F">
        <w:t>roadmap</w:t>
      </w:r>
      <w:proofErr w:type="spellEnd"/>
      <w:r w:rsidR="00460D4F">
        <w:t>) for implementering af virksomhedens cirkulære forretningsmodel/ -spor</w:t>
      </w:r>
      <w:r w:rsidR="00235D7C">
        <w:t>.</w:t>
      </w:r>
    </w:p>
    <w:p w14:paraId="2AADF34A" w14:textId="5A6E415F" w:rsidR="00460D4F" w:rsidRDefault="00571518" w:rsidP="00E30FEE">
      <w:pPr>
        <w:pStyle w:val="Listeafsnit"/>
        <w:numPr>
          <w:ilvl w:val="0"/>
          <w:numId w:val="5"/>
        </w:numPr>
      </w:pPr>
      <w:r>
        <w:t>S</w:t>
      </w:r>
      <w:r w:rsidR="00460D4F">
        <w:t>ikring af løbende afrapportering af samarbejdets fremdrift</w:t>
      </w:r>
      <w:r w:rsidR="00235D7C">
        <w:t>.</w:t>
      </w:r>
    </w:p>
    <w:p w14:paraId="6E5B1E2B" w14:textId="0AAB119B" w:rsidR="00A33038" w:rsidRPr="006C5975" w:rsidRDefault="00571518" w:rsidP="00E30FEE">
      <w:pPr>
        <w:pStyle w:val="Listeafsnit"/>
        <w:numPr>
          <w:ilvl w:val="0"/>
          <w:numId w:val="5"/>
        </w:numPr>
      </w:pPr>
      <w:r>
        <w:t>F</w:t>
      </w:r>
      <w:r w:rsidR="00460D4F">
        <w:t xml:space="preserve">ærdiggørelse og fremsendelse af </w:t>
      </w:r>
      <w:r w:rsidR="00A33038">
        <w:t xml:space="preserve">a) ressourceprofil, b) beskrivelse af cirkulær forretningsmodel / -spor, c) plan for virksomhedens overgang til cirkulær forretningsmodel, d) </w:t>
      </w:r>
      <w:r w:rsidR="005A001D" w:rsidRPr="006C5975">
        <w:t xml:space="preserve">udfyldelse af </w:t>
      </w:r>
      <w:r w:rsidR="006C5975" w:rsidRPr="006C5975">
        <w:t xml:space="preserve">Erhvervsstyrelsens </w:t>
      </w:r>
      <w:r w:rsidR="005A001D" w:rsidRPr="006C5975">
        <w:t xml:space="preserve">effektmålingsværktøj og e) </w:t>
      </w:r>
      <w:r w:rsidR="00A33038" w:rsidRPr="006C5975">
        <w:t>udkast til case-beskrivelse for virksomhedens samlede udbytte af deltagelse i projektet</w:t>
      </w:r>
      <w:r w:rsidR="00235D7C">
        <w:t>.</w:t>
      </w:r>
    </w:p>
    <w:p w14:paraId="1FD2D57D" w14:textId="39B6A782" w:rsidR="00AE7D0D" w:rsidRDefault="002529CF" w:rsidP="002529CF">
      <w:pPr>
        <w:pStyle w:val="Listeafsnit"/>
        <w:numPr>
          <w:ilvl w:val="0"/>
          <w:numId w:val="5"/>
        </w:numPr>
      </w:pPr>
      <w:r>
        <w:t xml:space="preserve">Aktører, der kan demonstrere de kompetencer, som er nødvendige for at løfte ovenstående opgaver, er velkomne til at udfylde en ansøgning på </w:t>
      </w:r>
      <w:hyperlink r:id="rId7">
        <w:r w:rsidRPr="002529CF">
          <w:rPr>
            <w:rStyle w:val="Hyperlink"/>
          </w:rPr>
          <w:t>https://groenogcirkulaer.dk/raadgiver/</w:t>
        </w:r>
      </w:hyperlink>
      <w:r>
        <w:t xml:space="preserve"> for at opnå optagelse på projektets pulje af forhåndsgodkendte konsulenter. Konsulenter kan gå sammen i netværk af 2 eller flere konsulenter for på den måde at sikre både dybde og bredde i de kompetencer, som kan tilbydes.</w:t>
      </w:r>
    </w:p>
    <w:p w14:paraId="7654E4F0" w14:textId="77777777" w:rsidR="0076233D" w:rsidRDefault="0076233D" w:rsidP="0076233D">
      <w:pPr>
        <w:pStyle w:val="Overskrift2"/>
      </w:pPr>
      <w:r>
        <w:t>Virksomheden vælger</w:t>
      </w:r>
      <w:r w:rsidR="00E30FEE">
        <w:t xml:space="preserve"> konsulent</w:t>
      </w:r>
    </w:p>
    <w:p w14:paraId="31DFC4CC" w14:textId="4B807FA0" w:rsidR="005C1BD7" w:rsidRDefault="0076233D" w:rsidP="00E7482A">
      <w:r>
        <w:t xml:space="preserve">Det er den deltagende virksomhed, </w:t>
      </w:r>
      <w:r w:rsidR="006C5975">
        <w:t xml:space="preserve">som frit </w:t>
      </w:r>
      <w:r>
        <w:t>vælger den/ de konsulenter, som virksomheden ønsker at samarbejde med. Valget kan ske ud fra puljen af forhåndsgodkendte konsulenter (som nærværende markedsafdækning omfatter), men virksomheden kan også vælge at pege p</w:t>
      </w:r>
      <w:r w:rsidR="00E30FEE">
        <w:t>å en konsulent uden</w:t>
      </w:r>
      <w:r w:rsidR="005A001D">
        <w:t xml:space="preserve"> </w:t>
      </w:r>
      <w:r w:rsidR="00E30FEE">
        <w:t xml:space="preserve">for puljen. </w:t>
      </w:r>
      <w:r>
        <w:t xml:space="preserve">I sidstnævnte tilfælde skal </w:t>
      </w:r>
      <w:r w:rsidR="001F7CB7">
        <w:t xml:space="preserve">CLEAN og </w:t>
      </w:r>
      <w:r>
        <w:t>LDC godkende den valgte konsulent efter samme udvælgelseskr</w:t>
      </w:r>
      <w:r w:rsidR="00E30FEE">
        <w:t>iterier, som i denne procedure.</w:t>
      </w:r>
    </w:p>
    <w:p w14:paraId="708D9874" w14:textId="77123518" w:rsidR="005C1BD7" w:rsidRPr="0025413C" w:rsidRDefault="002529CF" w:rsidP="00460D4F">
      <w:pPr>
        <w:pStyle w:val="Overskrift2"/>
        <w:rPr>
          <w:sz w:val="20"/>
          <w:szCs w:val="20"/>
        </w:rPr>
      </w:pPr>
      <w:r>
        <w:lastRenderedPageBreak/>
        <w:t xml:space="preserve">Ansøgningsprocedure – Cirkulær </w:t>
      </w:r>
      <w:proofErr w:type="spellStart"/>
      <w:r>
        <w:t>økonomi-konsulenter</w:t>
      </w:r>
      <w:proofErr w:type="spellEnd"/>
      <w:r>
        <w:t xml:space="preserve">  </w:t>
      </w:r>
    </w:p>
    <w:p w14:paraId="031E8BE3" w14:textId="60225131" w:rsidR="005C1BD7" w:rsidRDefault="002529CF" w:rsidP="002529CF">
      <w:r>
        <w:t xml:space="preserve">På </w:t>
      </w:r>
      <w:proofErr w:type="spellStart"/>
      <w:r>
        <w:t>GCO’s</w:t>
      </w:r>
      <w:proofErr w:type="spellEnd"/>
      <w:r>
        <w:t xml:space="preserve"> hjemmeside </w:t>
      </w:r>
      <w:r w:rsidRPr="002529CF">
        <w:rPr>
          <w:rFonts w:ascii="Calibri" w:eastAsia="Calibri" w:hAnsi="Calibri" w:cs="Calibri"/>
        </w:rPr>
        <w:t>https://groenogcirkulaer.dk/raadgiver/</w:t>
      </w:r>
      <w:r>
        <w:t xml:space="preserve"> kan I downloade ansøgningsskema samt udfylde informationer om jeres virksomhed. I forbindelse med ansøgningen </w:t>
      </w:r>
      <w:r w:rsidR="003B43F5">
        <w:t xml:space="preserve">vil i </w:t>
      </w:r>
      <w:r>
        <w:t>blive bedt om at angive oplysninger om følgende punkter:</w:t>
      </w:r>
    </w:p>
    <w:p w14:paraId="45E92CC0" w14:textId="77777777" w:rsidR="00396435" w:rsidRDefault="00396435" w:rsidP="00396435">
      <w:pPr>
        <w:pStyle w:val="Listeafsnit"/>
        <w:numPr>
          <w:ilvl w:val="0"/>
          <w:numId w:val="2"/>
        </w:numPr>
      </w:pPr>
      <w:r>
        <w:t>Tilbudsgivers faglige kompetencer og erfaring med at rådgive om og udføre ovennævnte opgaver.</w:t>
      </w:r>
    </w:p>
    <w:p w14:paraId="04E772F9" w14:textId="52787506" w:rsidR="00396435" w:rsidRDefault="00396435" w:rsidP="00396435">
      <w:pPr>
        <w:pStyle w:val="Listeafsnit"/>
        <w:numPr>
          <w:ilvl w:val="0"/>
          <w:numId w:val="2"/>
        </w:numPr>
      </w:pPr>
      <w:r>
        <w:t xml:space="preserve">Oversigt over lignende / </w:t>
      </w:r>
      <w:r w:rsidR="001F7CB7">
        <w:t>cirkulær økonomi</w:t>
      </w:r>
      <w:r>
        <w:t>-relaterede opgaver, som ansøgeren har været med til at løse som projektleder og/eller (ekstern) konsulent / rådgiver</w:t>
      </w:r>
    </w:p>
    <w:p w14:paraId="421DC206" w14:textId="77777777" w:rsidR="000C3C9A" w:rsidRDefault="000C3C9A" w:rsidP="000C3C9A">
      <w:pPr>
        <w:pStyle w:val="Listeafsnit"/>
        <w:numPr>
          <w:ilvl w:val="0"/>
          <w:numId w:val="2"/>
        </w:numPr>
      </w:pPr>
      <w:bookmarkStart w:id="2" w:name="_Hlk31636498"/>
      <w:r>
        <w:t xml:space="preserve">Beskrivelser af den / de faglige tilgange og modeller, som konsulenten </w:t>
      </w:r>
      <w:r w:rsidRPr="009F6DAC">
        <w:rPr>
          <w:i/>
        </w:rPr>
        <w:t>i udgangspunktet</w:t>
      </w:r>
      <w:r>
        <w:t xml:space="preserve"> tænker sig at ville anvende.</w:t>
      </w:r>
      <w:r w:rsidRPr="000C3C9A">
        <w:t xml:space="preserve"> </w:t>
      </w:r>
    </w:p>
    <w:p w14:paraId="79E8A8B5" w14:textId="01CB33DD" w:rsidR="009F6DAC" w:rsidRDefault="00396435" w:rsidP="00E55B61">
      <w:pPr>
        <w:pStyle w:val="Listeafsnit"/>
        <w:numPr>
          <w:ilvl w:val="0"/>
          <w:numId w:val="2"/>
        </w:numPr>
      </w:pPr>
      <w:r>
        <w:t>Ansøgers pris per leveret konsulenttime</w:t>
      </w:r>
      <w:r w:rsidR="00DD3368">
        <w:t xml:space="preserve"> (ex. moms)</w:t>
      </w:r>
      <w:r>
        <w:t>. Der kan kun angives én pris. Anvendelse af konsulenter med forskellige (interne) timehonorar er projektet uvedkommende.</w:t>
      </w:r>
      <w:r w:rsidR="001E2C1F">
        <w:t xml:space="preserve"> (</w:t>
      </w:r>
      <w:r w:rsidR="00CE0C14">
        <w:t>Prissatsen kan ikke blive reguleret under projektets levetid</w:t>
      </w:r>
      <w:r w:rsidR="001E2C1F">
        <w:t>)</w:t>
      </w:r>
    </w:p>
    <w:p w14:paraId="33B90514" w14:textId="716D1E7D" w:rsidR="000C3C9A" w:rsidRDefault="000C3C9A" w:rsidP="000C3C9A">
      <w:pPr>
        <w:pStyle w:val="Listeafsnit"/>
      </w:pPr>
    </w:p>
    <w:p w14:paraId="243E662F" w14:textId="6485EE70" w:rsidR="000C3C9A" w:rsidRDefault="002529CF" w:rsidP="000C3C9A">
      <w:r>
        <w:t xml:space="preserve">I vil udover ansøgningsskema skulle uploade CV, inkl. referencer, for den / de konsulent(er) der skal varetage opgaven samt virksomhedslogo. </w:t>
      </w:r>
    </w:p>
    <w:p w14:paraId="666E1D77" w14:textId="2851D218" w:rsidR="00376F5C" w:rsidRDefault="002529CF" w:rsidP="00E55B61">
      <w:r>
        <w:t xml:space="preserve">De oplysninger I indtaster i ansøgningssystemet, vil blive brugt til at lave en konsulentprofil til offentliggørelse på programmets hjemmeside, hvis/når I bliver godkendt som CØ-rådgivere. </w:t>
      </w:r>
      <w:bookmarkStart w:id="3" w:name="_Hlk31375896"/>
      <w:bookmarkEnd w:id="2"/>
    </w:p>
    <w:bookmarkEnd w:id="3"/>
    <w:p w14:paraId="619B7117" w14:textId="77777777" w:rsidR="007117E4" w:rsidRDefault="007117E4" w:rsidP="007117E4">
      <w:r>
        <w:t>De indkomne ansøgninger vil blive vurdere</w:t>
      </w:r>
      <w:r w:rsidR="00F772A7">
        <w:t>t</w:t>
      </w:r>
      <w:r>
        <w:t xml:space="preserve"> ud fra følgende kriterier og vægte: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3112"/>
      </w:tblGrid>
      <w:tr w:rsidR="000439B2" w14:paraId="7ABFFF16" w14:textId="77777777" w:rsidTr="00283158">
        <w:tc>
          <w:tcPr>
            <w:tcW w:w="3397" w:type="dxa"/>
          </w:tcPr>
          <w:p w14:paraId="234E670F" w14:textId="77777777" w:rsidR="000439B2" w:rsidRDefault="000439B2" w:rsidP="007117E4">
            <w:r>
              <w:t>Kriterium</w:t>
            </w:r>
          </w:p>
        </w:tc>
        <w:tc>
          <w:tcPr>
            <w:tcW w:w="2906" w:type="dxa"/>
          </w:tcPr>
          <w:p w14:paraId="11D46CEA" w14:textId="77777777" w:rsidR="000439B2" w:rsidRDefault="000439B2" w:rsidP="007117E4">
            <w:r>
              <w:t>Vægter med følgende procentsats:</w:t>
            </w:r>
          </w:p>
        </w:tc>
        <w:tc>
          <w:tcPr>
            <w:tcW w:w="3112" w:type="dxa"/>
          </w:tcPr>
          <w:p w14:paraId="1D6304E8" w14:textId="77777777" w:rsidR="000439B2" w:rsidRDefault="00283158" w:rsidP="007117E4">
            <w:r>
              <w:t>Vægtning af kvalitative kriterier:</w:t>
            </w:r>
          </w:p>
        </w:tc>
      </w:tr>
      <w:tr w:rsidR="00283158" w14:paraId="4637E348" w14:textId="77777777" w:rsidTr="00283158">
        <w:tc>
          <w:tcPr>
            <w:tcW w:w="3397" w:type="dxa"/>
          </w:tcPr>
          <w:p w14:paraId="32A9E1C9" w14:textId="77777777" w:rsidR="00283158" w:rsidRDefault="00283158" w:rsidP="00283158">
            <w:r>
              <w:t>Erfaring med lign. opgaver</w:t>
            </w:r>
          </w:p>
        </w:tc>
        <w:tc>
          <w:tcPr>
            <w:tcW w:w="2906" w:type="dxa"/>
            <w:vMerge w:val="restart"/>
          </w:tcPr>
          <w:p w14:paraId="3A4799FC" w14:textId="77777777" w:rsidR="00283158" w:rsidRDefault="00283158" w:rsidP="00283158">
            <w:r>
              <w:t>60 %</w:t>
            </w:r>
          </w:p>
        </w:tc>
        <w:tc>
          <w:tcPr>
            <w:tcW w:w="3112" w:type="dxa"/>
          </w:tcPr>
          <w:p w14:paraId="67EB3AB3" w14:textId="77777777" w:rsidR="00283158" w:rsidRDefault="00283158" w:rsidP="00283158">
            <w:r>
              <w:t>30 %</w:t>
            </w:r>
          </w:p>
        </w:tc>
      </w:tr>
      <w:tr w:rsidR="00283158" w14:paraId="11BB5146" w14:textId="77777777" w:rsidTr="00283158">
        <w:tc>
          <w:tcPr>
            <w:tcW w:w="3397" w:type="dxa"/>
          </w:tcPr>
          <w:p w14:paraId="69171D77" w14:textId="77777777" w:rsidR="00283158" w:rsidRDefault="00283158" w:rsidP="00283158">
            <w:r>
              <w:t>Forretningsforståelse</w:t>
            </w:r>
          </w:p>
        </w:tc>
        <w:tc>
          <w:tcPr>
            <w:tcW w:w="2906" w:type="dxa"/>
            <w:vMerge/>
          </w:tcPr>
          <w:p w14:paraId="36D2560B" w14:textId="77777777" w:rsidR="00283158" w:rsidRDefault="00283158" w:rsidP="00283158"/>
        </w:tc>
        <w:tc>
          <w:tcPr>
            <w:tcW w:w="3112" w:type="dxa"/>
          </w:tcPr>
          <w:p w14:paraId="3E3BA87B" w14:textId="77777777" w:rsidR="00283158" w:rsidRDefault="00283158" w:rsidP="00283158">
            <w:r>
              <w:t>15 %</w:t>
            </w:r>
          </w:p>
        </w:tc>
      </w:tr>
      <w:tr w:rsidR="00283158" w14:paraId="1DAF5FCA" w14:textId="77777777" w:rsidTr="00283158">
        <w:tc>
          <w:tcPr>
            <w:tcW w:w="3397" w:type="dxa"/>
          </w:tcPr>
          <w:p w14:paraId="5A29B50F" w14:textId="77777777" w:rsidR="00283158" w:rsidRDefault="00283158" w:rsidP="00283158">
            <w:r>
              <w:t>Faglige kompetencer</w:t>
            </w:r>
          </w:p>
        </w:tc>
        <w:tc>
          <w:tcPr>
            <w:tcW w:w="2906" w:type="dxa"/>
            <w:vMerge/>
          </w:tcPr>
          <w:p w14:paraId="0D13D6FF" w14:textId="77777777" w:rsidR="00283158" w:rsidRDefault="00283158" w:rsidP="00283158"/>
        </w:tc>
        <w:tc>
          <w:tcPr>
            <w:tcW w:w="3112" w:type="dxa"/>
          </w:tcPr>
          <w:p w14:paraId="4D2BA03F" w14:textId="77777777" w:rsidR="00283158" w:rsidRDefault="00283158" w:rsidP="00283158">
            <w:r>
              <w:t>30 %</w:t>
            </w:r>
          </w:p>
        </w:tc>
      </w:tr>
      <w:tr w:rsidR="00283158" w14:paraId="4D03528C" w14:textId="77777777" w:rsidTr="00283158">
        <w:tc>
          <w:tcPr>
            <w:tcW w:w="3397" w:type="dxa"/>
            <w:tcBorders>
              <w:bottom w:val="single" w:sz="12" w:space="0" w:color="auto"/>
            </w:tcBorders>
          </w:tcPr>
          <w:p w14:paraId="6BFA861F" w14:textId="77777777" w:rsidR="00283158" w:rsidRDefault="00283158" w:rsidP="00283158">
            <w:r>
              <w:t>Forståelse af opgaven</w:t>
            </w:r>
          </w:p>
        </w:tc>
        <w:tc>
          <w:tcPr>
            <w:tcW w:w="2906" w:type="dxa"/>
            <w:vMerge/>
            <w:tcBorders>
              <w:bottom w:val="single" w:sz="12" w:space="0" w:color="auto"/>
            </w:tcBorders>
          </w:tcPr>
          <w:p w14:paraId="04F846E1" w14:textId="77777777" w:rsidR="00283158" w:rsidRDefault="00283158" w:rsidP="00283158"/>
        </w:tc>
        <w:tc>
          <w:tcPr>
            <w:tcW w:w="3112" w:type="dxa"/>
            <w:tcBorders>
              <w:bottom w:val="single" w:sz="12" w:space="0" w:color="auto"/>
            </w:tcBorders>
          </w:tcPr>
          <w:p w14:paraId="43C3E3B4" w14:textId="77777777" w:rsidR="00283158" w:rsidRDefault="00283158" w:rsidP="00283158">
            <w:r>
              <w:t>25 %</w:t>
            </w:r>
          </w:p>
        </w:tc>
      </w:tr>
      <w:tr w:rsidR="00283158" w14:paraId="1F7F07D4" w14:textId="77777777" w:rsidTr="00283158">
        <w:tc>
          <w:tcPr>
            <w:tcW w:w="3397" w:type="dxa"/>
            <w:tcBorders>
              <w:top w:val="single" w:sz="12" w:space="0" w:color="auto"/>
            </w:tcBorders>
          </w:tcPr>
          <w:p w14:paraId="13829CC1" w14:textId="77777777" w:rsidR="00283158" w:rsidRDefault="00283158" w:rsidP="00283158">
            <w:r>
              <w:t>Pris (honorar per time)</w:t>
            </w:r>
          </w:p>
        </w:tc>
        <w:tc>
          <w:tcPr>
            <w:tcW w:w="2906" w:type="dxa"/>
            <w:tcBorders>
              <w:top w:val="single" w:sz="12" w:space="0" w:color="auto"/>
            </w:tcBorders>
          </w:tcPr>
          <w:p w14:paraId="14C44E11" w14:textId="77777777" w:rsidR="00283158" w:rsidRDefault="00283158" w:rsidP="00283158">
            <w:r>
              <w:t>40 %</w:t>
            </w:r>
          </w:p>
        </w:tc>
        <w:tc>
          <w:tcPr>
            <w:tcW w:w="3112" w:type="dxa"/>
            <w:tcBorders>
              <w:top w:val="single" w:sz="12" w:space="0" w:color="auto"/>
            </w:tcBorders>
          </w:tcPr>
          <w:p w14:paraId="49F38D42" w14:textId="77777777" w:rsidR="00283158" w:rsidRDefault="00283158" w:rsidP="00283158"/>
        </w:tc>
      </w:tr>
    </w:tbl>
    <w:p w14:paraId="501B8927" w14:textId="77777777" w:rsidR="00D91745" w:rsidRDefault="00D91745" w:rsidP="00E30FEE"/>
    <w:p w14:paraId="4B6973B6" w14:textId="77777777" w:rsidR="00D91745" w:rsidRDefault="00D91745" w:rsidP="00D91745">
      <w:pPr>
        <w:pStyle w:val="Overskrift2"/>
      </w:pPr>
      <w:r>
        <w:t>Krav og formalia vedr. udvælgelsesproceduren</w:t>
      </w:r>
    </w:p>
    <w:p w14:paraId="2788DF17" w14:textId="74800B6E" w:rsidR="00D91745" w:rsidRDefault="009F6DAC" w:rsidP="00E30FEE">
      <w:r>
        <w:t>CLEAN og LDC</w:t>
      </w:r>
      <w:r w:rsidR="00CB5099" w:rsidRPr="00CB5099">
        <w:t xml:space="preserve"> gennemfører denne annoncering for at leve op til EU’s krav om, at ydelsen </w:t>
      </w:r>
      <w:r w:rsidR="00D91745">
        <w:t>vil blive</w:t>
      </w:r>
      <w:r w:rsidR="00A002C9">
        <w:t xml:space="preserve"> købt på </w:t>
      </w:r>
      <w:r w:rsidR="00CB5099" w:rsidRPr="00CB5099">
        <w:t>markedsmæssige vilkå</w:t>
      </w:r>
      <w:r w:rsidR="00A002C9">
        <w:t>r</w:t>
      </w:r>
      <w:r w:rsidR="00CB5099" w:rsidRPr="00CB5099">
        <w:t xml:space="preserve"> og for at finde en </w:t>
      </w:r>
      <w:r w:rsidR="00D91745">
        <w:t xml:space="preserve">eller flere </w:t>
      </w:r>
      <w:r w:rsidR="00CB5099" w:rsidRPr="00CB5099">
        <w:t>samarbejdspartner</w:t>
      </w:r>
      <w:r w:rsidR="00D91745">
        <w:t>(e)</w:t>
      </w:r>
      <w:r w:rsidR="00CB5099" w:rsidRPr="00CB5099">
        <w:t>, der kan løse denne specifikke opgave på den bedst mulige måde. Indkøbet vedrører således vare-/tjenesteydelser under tærskelværdierne</w:t>
      </w:r>
      <w:r w:rsidR="00D91745">
        <w:t>, med indenlandske SMV’er</w:t>
      </w:r>
      <w:r w:rsidR="00CB5099" w:rsidRPr="00CB5099">
        <w:t xml:space="preserve"> </w:t>
      </w:r>
      <w:r w:rsidR="00D91745">
        <w:t xml:space="preserve">som primær målgruppe </w:t>
      </w:r>
      <w:r w:rsidR="00CB5099" w:rsidRPr="00CB5099">
        <w:t>og uden klar grænseoverskridende interesse.</w:t>
      </w:r>
      <w:r w:rsidR="00D91745">
        <w:t xml:space="preserve"> </w:t>
      </w:r>
    </w:p>
    <w:p w14:paraId="48E34441" w14:textId="61739433" w:rsidR="007117E4" w:rsidRDefault="009F6DAC" w:rsidP="00E30FEE">
      <w:r>
        <w:t>CLEAN og LDC</w:t>
      </w:r>
      <w:r w:rsidR="00D91745">
        <w:t xml:space="preserve"> er opmærksomme på at handle i overensstemmelse med de forvaltningsretlige principper om saglighed, økonomisk forsvarlig forvaltning, forbuddet mod varetagelse af uvedkommende hensyn, ligebehandlingsprincippet og proportionalitetsprincippet. Scoringen af de indkomne ansøgninger vil blive foretaget af flere medarbejdere i </w:t>
      </w:r>
      <w:r>
        <w:t xml:space="preserve">CLEAN og </w:t>
      </w:r>
      <w:r w:rsidR="00D91745">
        <w:t>LDC, som vil vurdere ansøgningerne uafhængigt af hinanden.</w:t>
      </w:r>
    </w:p>
    <w:p w14:paraId="51BE55B7" w14:textId="77777777" w:rsidR="005C1BD7" w:rsidRDefault="005C1BD7" w:rsidP="005C1BD7"/>
    <w:p w14:paraId="0DEB4119" w14:textId="77777777" w:rsidR="005C1BD7" w:rsidRPr="00E30FEE" w:rsidRDefault="005C1BD7" w:rsidP="005C1BD7">
      <w:r>
        <w:t>Ved spørgsmål, e</w:t>
      </w:r>
      <w:r w:rsidR="00E30FEE">
        <w:t>r du velkommen til at kontakte:</w:t>
      </w:r>
    </w:p>
    <w:p w14:paraId="126F83C5" w14:textId="1A08AC40" w:rsidR="002529CF" w:rsidRDefault="002529CF" w:rsidP="002529CF">
      <w:r>
        <w:t xml:space="preserve">Projektleder Kim Hjerrild, </w:t>
      </w:r>
      <w:hyperlink r:id="rId8" w:history="1">
        <w:r w:rsidRPr="002529CF">
          <w:rPr>
            <w:rStyle w:val="Hyperlink"/>
          </w:rPr>
          <w:t>kim@ldcluster.com</w:t>
        </w:r>
      </w:hyperlink>
      <w:r>
        <w:t xml:space="preserve">, </w:t>
      </w:r>
      <w:r w:rsidRPr="002529CF">
        <w:rPr>
          <w:rFonts w:ascii="Calibri" w:eastAsia="Calibri" w:hAnsi="Calibri" w:cs="Calibri"/>
        </w:rPr>
        <w:t>6037 7221</w:t>
      </w:r>
    </w:p>
    <w:p w14:paraId="152D19FA" w14:textId="41179141" w:rsidR="005C1BD7" w:rsidRDefault="002529CF" w:rsidP="005C1BD7">
      <w:r>
        <w:t xml:space="preserve">Projektleder Ulla Kristine Brandt, </w:t>
      </w:r>
      <w:hyperlink r:id="rId9" w:history="1">
        <w:r w:rsidR="003B43F5" w:rsidRPr="00D64679">
          <w:rPr>
            <w:rStyle w:val="Hyperlink"/>
          </w:rPr>
          <w:t>ukb@cleancluster.com</w:t>
        </w:r>
      </w:hyperlink>
      <w:r>
        <w:t>, 2963 7137</w:t>
      </w:r>
    </w:p>
    <w:p w14:paraId="019ED5F5" w14:textId="77777777" w:rsidR="00E30FEE" w:rsidRDefault="00E30FEE" w:rsidP="005C1BD7"/>
    <w:p w14:paraId="4138BFDA" w14:textId="0A9B1359" w:rsidR="005A001D" w:rsidRPr="00FC4CD2" w:rsidRDefault="005A001D" w:rsidP="00E7482A">
      <w:r w:rsidRPr="00FC4CD2">
        <w:t>Vi ser frem til at modtage din ansøgning</w:t>
      </w:r>
      <w:r w:rsidR="009F6DAC">
        <w:t xml:space="preserve"> via </w:t>
      </w:r>
      <w:hyperlink r:id="rId10" w:history="1">
        <w:r w:rsidR="00E808D5">
          <w:rPr>
            <w:rStyle w:val="Hyperlink"/>
          </w:rPr>
          <w:t>https://groenogcirkulaer.dk/raadgiver/</w:t>
        </w:r>
      </w:hyperlink>
      <w:r w:rsidR="00E808D5">
        <w:t>.</w:t>
      </w:r>
    </w:p>
    <w:p w14:paraId="39709C83" w14:textId="77777777" w:rsidR="009F6DAC" w:rsidRDefault="009F6DAC" w:rsidP="00E7482A"/>
    <w:p w14:paraId="3924DEE5" w14:textId="7A41F3BA" w:rsidR="005A001D" w:rsidRPr="00FC4CD2" w:rsidRDefault="009F6DAC" w:rsidP="00E7482A">
      <w:r>
        <w:t>Med v</w:t>
      </w:r>
      <w:r w:rsidR="005A001D" w:rsidRPr="00FC4CD2">
        <w:t>enlig hilsen</w:t>
      </w:r>
    </w:p>
    <w:p w14:paraId="5687C2B8" w14:textId="048E9437" w:rsidR="005A001D" w:rsidRPr="00FC4CD2" w:rsidRDefault="005A001D" w:rsidP="00E7482A">
      <w:r w:rsidRPr="00FC4CD2">
        <w:t>Kim Hjerrild</w:t>
      </w:r>
      <w:r w:rsidR="009F6DAC">
        <w:t xml:space="preserve"> (LDC) </w:t>
      </w:r>
      <w:r w:rsidRPr="00FC4CD2">
        <w:t xml:space="preserve">og </w:t>
      </w:r>
      <w:r w:rsidR="009F6DAC">
        <w:t>Ulla Brandt (CLEAN)</w:t>
      </w:r>
    </w:p>
    <w:bookmarkEnd w:id="0"/>
    <w:p w14:paraId="3145EA48" w14:textId="1F516AD3" w:rsidR="005A001D" w:rsidRDefault="005A001D" w:rsidP="00E7482A"/>
    <w:p w14:paraId="117BD242" w14:textId="77777777" w:rsidR="00507DA1" w:rsidRPr="00FC4CD2" w:rsidRDefault="00507DA1" w:rsidP="00E7482A"/>
    <w:sectPr w:rsidR="00507DA1" w:rsidRPr="00FC4C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115"/>
    <w:multiLevelType w:val="hybridMultilevel"/>
    <w:tmpl w:val="4030E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FD5"/>
    <w:multiLevelType w:val="hybridMultilevel"/>
    <w:tmpl w:val="27BE1F9A"/>
    <w:lvl w:ilvl="0" w:tplc="B0240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E8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45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0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67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C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AA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83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F26376"/>
    <w:multiLevelType w:val="hybridMultilevel"/>
    <w:tmpl w:val="BF70A2E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373D"/>
    <w:multiLevelType w:val="hybridMultilevel"/>
    <w:tmpl w:val="97287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57D7"/>
    <w:multiLevelType w:val="hybridMultilevel"/>
    <w:tmpl w:val="1B6EBE4E"/>
    <w:lvl w:ilvl="0" w:tplc="3C86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CC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61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ED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2B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6D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C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80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6F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E4646C"/>
    <w:multiLevelType w:val="hybridMultilevel"/>
    <w:tmpl w:val="C45CB054"/>
    <w:lvl w:ilvl="0" w:tplc="53CAFF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E7ED1"/>
    <w:multiLevelType w:val="hybridMultilevel"/>
    <w:tmpl w:val="DECE2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5795D"/>
    <w:multiLevelType w:val="hybridMultilevel"/>
    <w:tmpl w:val="36D84C0E"/>
    <w:lvl w:ilvl="0" w:tplc="53CAF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A2C2D"/>
    <w:multiLevelType w:val="hybridMultilevel"/>
    <w:tmpl w:val="F33A8D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2A"/>
    <w:rsid w:val="0001215C"/>
    <w:rsid w:val="000439B2"/>
    <w:rsid w:val="00072830"/>
    <w:rsid w:val="000A1BCC"/>
    <w:rsid w:val="000C3C9A"/>
    <w:rsid w:val="001A09DF"/>
    <w:rsid w:val="001E2C1F"/>
    <w:rsid w:val="001F7CB7"/>
    <w:rsid w:val="00216D16"/>
    <w:rsid w:val="00235D7C"/>
    <w:rsid w:val="00247344"/>
    <w:rsid w:val="002529CF"/>
    <w:rsid w:val="0025413C"/>
    <w:rsid w:val="00283158"/>
    <w:rsid w:val="002A7DE2"/>
    <w:rsid w:val="002E4ECD"/>
    <w:rsid w:val="0031293B"/>
    <w:rsid w:val="00376F5C"/>
    <w:rsid w:val="00377CCB"/>
    <w:rsid w:val="00396435"/>
    <w:rsid w:val="003B43F5"/>
    <w:rsid w:val="003B73F7"/>
    <w:rsid w:val="00460D4F"/>
    <w:rsid w:val="00495BF6"/>
    <w:rsid w:val="00507DA1"/>
    <w:rsid w:val="00535A17"/>
    <w:rsid w:val="00563FD3"/>
    <w:rsid w:val="00571518"/>
    <w:rsid w:val="005A001D"/>
    <w:rsid w:val="005C1BD7"/>
    <w:rsid w:val="006077D4"/>
    <w:rsid w:val="0068076A"/>
    <w:rsid w:val="0068115E"/>
    <w:rsid w:val="006C5975"/>
    <w:rsid w:val="006C7A35"/>
    <w:rsid w:val="006E5321"/>
    <w:rsid w:val="007117E4"/>
    <w:rsid w:val="007554D7"/>
    <w:rsid w:val="0076233D"/>
    <w:rsid w:val="007E177C"/>
    <w:rsid w:val="00800D9F"/>
    <w:rsid w:val="00821708"/>
    <w:rsid w:val="00841F8E"/>
    <w:rsid w:val="008C5F83"/>
    <w:rsid w:val="008F6E4B"/>
    <w:rsid w:val="009734E6"/>
    <w:rsid w:val="009F6DAC"/>
    <w:rsid w:val="00A002C9"/>
    <w:rsid w:val="00A33038"/>
    <w:rsid w:val="00AA5030"/>
    <w:rsid w:val="00AE7D0D"/>
    <w:rsid w:val="00B73F8D"/>
    <w:rsid w:val="00B7418C"/>
    <w:rsid w:val="00B929B3"/>
    <w:rsid w:val="00BB000A"/>
    <w:rsid w:val="00C17ECB"/>
    <w:rsid w:val="00C23927"/>
    <w:rsid w:val="00CB5099"/>
    <w:rsid w:val="00CB5A02"/>
    <w:rsid w:val="00CE0C14"/>
    <w:rsid w:val="00D91745"/>
    <w:rsid w:val="00DD3368"/>
    <w:rsid w:val="00E30FEE"/>
    <w:rsid w:val="00E55B61"/>
    <w:rsid w:val="00E7482A"/>
    <w:rsid w:val="00E808D5"/>
    <w:rsid w:val="00F40C7B"/>
    <w:rsid w:val="00F55F79"/>
    <w:rsid w:val="00F772A7"/>
    <w:rsid w:val="00FA3CC7"/>
    <w:rsid w:val="00FC4CD2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BA07"/>
  <w15:chartTrackingRefBased/>
  <w15:docId w15:val="{C9054029-D138-4421-A7C1-EC1C0CDA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41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418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418C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4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4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71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A00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00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00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00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001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1D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495BF6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1F7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ldclus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groenogcirkulaer.dk/raadgive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oenogcirkulaer.d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roenogcirkulaer.dk/raadgiv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b@cleancluster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FC39-FC6C-48C6-B370-3B5287C5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1167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Hjerrild</dc:creator>
  <cp:keywords/>
  <dc:description/>
  <cp:lastModifiedBy>Ulla Brandt</cp:lastModifiedBy>
  <cp:revision>2</cp:revision>
  <cp:lastPrinted>2020-01-31T08:39:00Z</cp:lastPrinted>
  <dcterms:created xsi:type="dcterms:W3CDTF">2020-02-11T12:01:00Z</dcterms:created>
  <dcterms:modified xsi:type="dcterms:W3CDTF">2020-02-11T12:01:00Z</dcterms:modified>
</cp:coreProperties>
</file>