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E" w:rsidRPr="00ED53EB" w:rsidRDefault="009453BE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 xml:space="preserve"> </w:t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980033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ab/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554DDE" w:rsidRPr="00ED53EB" w:rsidRDefault="00980033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ED53EB">
        <w:rPr>
          <w:rFonts w:ascii="Arial" w:hAnsi="Arial" w:cs="Arial"/>
          <w:b/>
          <w:color w:val="0070C0"/>
          <w:sz w:val="48"/>
          <w:szCs w:val="48"/>
        </w:rPr>
        <w:t xml:space="preserve">Requirement Specification </w:t>
      </w:r>
      <w:r w:rsidR="001F2988">
        <w:rPr>
          <w:rFonts w:ascii="Arial" w:hAnsi="Arial" w:cs="Arial"/>
          <w:b/>
          <w:color w:val="0070C0"/>
          <w:sz w:val="48"/>
          <w:szCs w:val="48"/>
        </w:rPr>
        <w:t xml:space="preserve">Viking Pro </w:t>
      </w:r>
      <w:proofErr w:type="spellStart"/>
      <w:r w:rsidR="005C7771">
        <w:rPr>
          <w:rFonts w:ascii="Arial" w:hAnsi="Arial" w:cs="Arial"/>
          <w:b/>
          <w:color w:val="0070C0"/>
          <w:sz w:val="48"/>
          <w:szCs w:val="48"/>
        </w:rPr>
        <w:t>D</w:t>
      </w:r>
      <w:r w:rsidR="001F2988">
        <w:rPr>
          <w:rFonts w:ascii="Arial" w:hAnsi="Arial" w:cs="Arial"/>
          <w:b/>
          <w:color w:val="0070C0"/>
          <w:sz w:val="48"/>
          <w:szCs w:val="48"/>
        </w:rPr>
        <w:t>rysuits</w:t>
      </w:r>
      <w:proofErr w:type="spellEnd"/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576617" w:rsidRPr="00ED53EB" w:rsidRDefault="00576617">
      <w:p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br w:type="page"/>
      </w:r>
    </w:p>
    <w:p w:rsidR="009C3A6C" w:rsidRPr="00ED53EB" w:rsidRDefault="00766A4A" w:rsidP="00554DDE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Requirements</w:t>
      </w:r>
    </w:p>
    <w:p w:rsidR="009752DB" w:rsidRDefault="009752DB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Description of the requirement</w:t>
      </w:r>
    </w:p>
    <w:p w:rsidR="009752DB" w:rsidRPr="00787186" w:rsidRDefault="00787186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  <w:r w:rsidRPr="00787186">
        <w:rPr>
          <w:rFonts w:ascii="Arial" w:hAnsi="Arial" w:cs="Arial"/>
          <w:sz w:val="24"/>
          <w:szCs w:val="24"/>
        </w:rPr>
        <w:t xml:space="preserve">DALO wants to acquire </w:t>
      </w:r>
      <w:r w:rsidR="001F2988">
        <w:rPr>
          <w:rFonts w:ascii="Arial" w:hAnsi="Arial" w:cs="Arial"/>
          <w:sz w:val="24"/>
          <w:szCs w:val="24"/>
        </w:rPr>
        <w:t>42</w:t>
      </w:r>
      <w:r w:rsidRPr="00787186">
        <w:rPr>
          <w:rFonts w:ascii="Arial" w:hAnsi="Arial" w:cs="Arial"/>
          <w:sz w:val="24"/>
          <w:szCs w:val="24"/>
        </w:rPr>
        <w:t xml:space="preserve"> non-magnetic </w:t>
      </w:r>
      <w:r w:rsidR="001820CF">
        <w:rPr>
          <w:rFonts w:ascii="Arial" w:hAnsi="Arial" w:cs="Arial"/>
          <w:sz w:val="24"/>
          <w:szCs w:val="24"/>
        </w:rPr>
        <w:t xml:space="preserve">Viking Pro </w:t>
      </w:r>
      <w:r w:rsidRPr="00787186">
        <w:rPr>
          <w:rFonts w:ascii="Arial" w:hAnsi="Arial" w:cs="Arial"/>
          <w:sz w:val="24"/>
          <w:szCs w:val="24"/>
        </w:rPr>
        <w:t xml:space="preserve">rubber </w:t>
      </w:r>
      <w:proofErr w:type="spellStart"/>
      <w:r w:rsidRPr="00787186">
        <w:rPr>
          <w:rFonts w:ascii="Arial" w:hAnsi="Arial" w:cs="Arial"/>
          <w:sz w:val="24"/>
          <w:szCs w:val="24"/>
        </w:rPr>
        <w:t>drysuits</w:t>
      </w:r>
      <w:proofErr w:type="spellEnd"/>
      <w:r w:rsidRPr="00787186">
        <w:rPr>
          <w:rFonts w:ascii="Arial" w:hAnsi="Arial" w:cs="Arial"/>
          <w:sz w:val="24"/>
          <w:szCs w:val="24"/>
        </w:rPr>
        <w:t xml:space="preserve"> for various types of divers. DALO notes</w:t>
      </w:r>
      <w:r w:rsidR="005C7771">
        <w:rPr>
          <w:rFonts w:ascii="Arial" w:hAnsi="Arial" w:cs="Arial"/>
          <w:sz w:val="24"/>
          <w:szCs w:val="24"/>
        </w:rPr>
        <w:t>,</w:t>
      </w:r>
      <w:r w:rsidRPr="00787186">
        <w:rPr>
          <w:rFonts w:ascii="Arial" w:hAnsi="Arial" w:cs="Arial"/>
          <w:sz w:val="24"/>
          <w:szCs w:val="24"/>
        </w:rPr>
        <w:t xml:space="preserve"> that it is imperative that the offered suits are </w:t>
      </w:r>
      <w:r>
        <w:rPr>
          <w:rFonts w:ascii="Arial" w:hAnsi="Arial" w:cs="Arial"/>
          <w:sz w:val="24"/>
          <w:szCs w:val="24"/>
        </w:rPr>
        <w:t xml:space="preserve">of the type, </w:t>
      </w:r>
      <w:r w:rsidRPr="00787186">
        <w:rPr>
          <w:rFonts w:ascii="Arial" w:hAnsi="Arial" w:cs="Arial"/>
          <w:sz w:val="24"/>
          <w:szCs w:val="24"/>
        </w:rPr>
        <w:t xml:space="preserve">configuration </w:t>
      </w:r>
      <w:r>
        <w:rPr>
          <w:rFonts w:ascii="Arial" w:hAnsi="Arial" w:cs="Arial"/>
          <w:sz w:val="24"/>
          <w:szCs w:val="24"/>
        </w:rPr>
        <w:t>and sizes specified in section 1.4</w:t>
      </w:r>
      <w:r w:rsidR="005C77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as they will be used in conjunction with existing suits and other equipment.</w:t>
      </w:r>
    </w:p>
    <w:p w:rsidR="00B51208" w:rsidRPr="00787186" w:rsidRDefault="00B51208">
      <w:pPr>
        <w:pStyle w:val="Opstilling-talellerbogst"/>
        <w:numPr>
          <w:ilvl w:val="0"/>
          <w:numId w:val="0"/>
        </w:numPr>
        <w:ind w:left="426"/>
        <w:rPr>
          <w:rFonts w:ascii="Arial" w:hAnsi="Arial" w:cs="Arial"/>
          <w:b/>
          <w:sz w:val="24"/>
          <w:szCs w:val="24"/>
        </w:rPr>
      </w:pPr>
    </w:p>
    <w:p w:rsidR="00554DDE" w:rsidRPr="00272680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72680">
        <w:rPr>
          <w:rFonts w:ascii="Arial" w:hAnsi="Arial" w:cs="Arial"/>
          <w:b/>
          <w:sz w:val="24"/>
          <w:szCs w:val="24"/>
        </w:rPr>
        <w:t>1</w:t>
      </w:r>
      <w:r w:rsidR="00554DDE" w:rsidRPr="00272680">
        <w:rPr>
          <w:rFonts w:ascii="Arial" w:hAnsi="Arial" w:cs="Arial"/>
          <w:b/>
          <w:sz w:val="24"/>
          <w:szCs w:val="24"/>
        </w:rPr>
        <w:t>.</w:t>
      </w:r>
      <w:r w:rsidR="009752DB" w:rsidRPr="00272680">
        <w:rPr>
          <w:rFonts w:ascii="Arial" w:hAnsi="Arial" w:cs="Arial"/>
          <w:b/>
          <w:sz w:val="24"/>
          <w:szCs w:val="24"/>
        </w:rPr>
        <w:t>2</w:t>
      </w:r>
      <w:r w:rsidR="00554DDE" w:rsidRPr="00272680">
        <w:rPr>
          <w:rFonts w:ascii="Arial" w:hAnsi="Arial" w:cs="Arial"/>
          <w:b/>
          <w:sz w:val="24"/>
          <w:szCs w:val="24"/>
        </w:rPr>
        <w:t xml:space="preserve">. </w:t>
      </w:r>
      <w:r w:rsidR="00766A4A" w:rsidRPr="00272680">
        <w:rPr>
          <w:rFonts w:ascii="Arial" w:hAnsi="Arial" w:cs="Arial"/>
          <w:b/>
          <w:sz w:val="24"/>
          <w:szCs w:val="24"/>
        </w:rPr>
        <w:t>Description and definitions</w:t>
      </w:r>
    </w:p>
    <w:p w:rsidR="00554DDE" w:rsidRPr="00025B88" w:rsidRDefault="00766A4A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t xml:space="preserve">The </w:t>
      </w:r>
      <w:r w:rsidR="003752EC" w:rsidRPr="00025B88">
        <w:rPr>
          <w:rFonts w:ascii="Arial" w:hAnsi="Arial" w:cs="Arial"/>
          <w:sz w:val="24"/>
          <w:szCs w:val="24"/>
        </w:rPr>
        <w:t>requirement specification</w:t>
      </w:r>
      <w:r w:rsidRPr="00025B88">
        <w:rPr>
          <w:rFonts w:ascii="Arial" w:hAnsi="Arial" w:cs="Arial"/>
          <w:sz w:val="24"/>
          <w:szCs w:val="24"/>
        </w:rPr>
        <w:t>, cf. section 1.</w:t>
      </w:r>
      <w:r w:rsidR="00323665">
        <w:rPr>
          <w:rFonts w:ascii="Arial" w:hAnsi="Arial" w:cs="Arial"/>
          <w:sz w:val="24"/>
          <w:szCs w:val="24"/>
        </w:rPr>
        <w:t>4</w:t>
      </w:r>
      <w:r w:rsidRPr="00025B88">
        <w:rPr>
          <w:rFonts w:ascii="Arial" w:hAnsi="Arial" w:cs="Arial"/>
          <w:sz w:val="24"/>
          <w:szCs w:val="24"/>
        </w:rPr>
        <w:t xml:space="preserve">, describes all the requirements </w:t>
      </w:r>
      <w:r w:rsidR="007718B4" w:rsidRPr="00025B88">
        <w:rPr>
          <w:rFonts w:ascii="Arial" w:hAnsi="Arial" w:cs="Arial"/>
          <w:sz w:val="24"/>
          <w:szCs w:val="24"/>
        </w:rPr>
        <w:t>for the</w:t>
      </w:r>
      <w:r w:rsidR="00622FC1" w:rsidRPr="00025B88">
        <w:rPr>
          <w:rFonts w:ascii="Arial" w:hAnsi="Arial" w:cs="Arial"/>
          <w:sz w:val="24"/>
          <w:szCs w:val="24"/>
        </w:rPr>
        <w:t xml:space="preserve"> </w:t>
      </w:r>
      <w:r w:rsidR="00D803A7" w:rsidRPr="00025B88">
        <w:rPr>
          <w:rFonts w:ascii="Arial" w:hAnsi="Arial" w:cs="Arial"/>
          <w:sz w:val="24"/>
          <w:szCs w:val="24"/>
        </w:rPr>
        <w:t>acquisition</w:t>
      </w:r>
      <w:r w:rsidR="007718B4" w:rsidRPr="00025B88">
        <w:rPr>
          <w:rFonts w:ascii="Arial" w:hAnsi="Arial" w:cs="Arial"/>
          <w:sz w:val="24"/>
          <w:szCs w:val="24"/>
        </w:rPr>
        <w:t xml:space="preserve"> and consists of six</w:t>
      </w:r>
      <w:r w:rsidR="00622FC1" w:rsidRPr="00025B88">
        <w:rPr>
          <w:rFonts w:ascii="Arial" w:hAnsi="Arial" w:cs="Arial"/>
          <w:sz w:val="24"/>
          <w:szCs w:val="24"/>
        </w:rPr>
        <w:t xml:space="preserve"> columns with the following information:</w:t>
      </w:r>
    </w:p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/>
      </w:tblPr>
      <w:tblGrid>
        <w:gridCol w:w="4219"/>
        <w:gridCol w:w="8046"/>
      </w:tblGrid>
      <w:tr w:rsidR="00576617" w:rsidRPr="00ED53EB" w:rsidTr="00576617">
        <w:trPr>
          <w:cnfStyle w:val="1000000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"#"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ID number</w:t>
            </w:r>
          </w:p>
        </w:tc>
      </w:tr>
      <w:tr w:rsidR="00576617" w:rsidRPr="00ED53E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D53EB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576617" w:rsidRPr="00080E7B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"Classification"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classification of the requirement as further described in section 1.</w:t>
            </w:r>
            <w:r w:rsidR="00665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6617" w:rsidRPr="00080E7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"DALO remarks"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Further information regarding the requirement</w:t>
            </w:r>
          </w:p>
        </w:tc>
      </w:tr>
      <w:tr w:rsidR="00576617" w:rsidRPr="00080E7B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 compliance"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tenderer's indication of compliance (YES or NO)</w:t>
            </w:r>
          </w:p>
        </w:tc>
      </w:tr>
      <w:tr w:rsidR="00576617" w:rsidRPr="00080E7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"Tender description"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 xml:space="preserve">Requirements regarding the tenderer's compliance description </w:t>
            </w:r>
          </w:p>
        </w:tc>
      </w:tr>
    </w:tbl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p w:rsidR="002D0A4F" w:rsidRPr="00025B88" w:rsidRDefault="00ED53EB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ab/>
      </w:r>
    </w:p>
    <w:p w:rsidR="00554DDE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>1</w:t>
      </w:r>
      <w:r w:rsidR="00554DDE" w:rsidRPr="00025B88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3</w:t>
      </w:r>
      <w:r w:rsidR="00554DDE" w:rsidRPr="00025B88">
        <w:rPr>
          <w:rFonts w:ascii="Arial" w:hAnsi="Arial" w:cs="Arial"/>
          <w:b/>
          <w:sz w:val="24"/>
          <w:szCs w:val="24"/>
        </w:rPr>
        <w:t xml:space="preserve">. </w:t>
      </w:r>
      <w:r w:rsidR="007B27EF" w:rsidRPr="00025B88">
        <w:rPr>
          <w:rFonts w:ascii="Arial" w:hAnsi="Arial" w:cs="Arial"/>
          <w:b/>
          <w:sz w:val="24"/>
          <w:szCs w:val="24"/>
        </w:rPr>
        <w:t>Classification</w:t>
      </w:r>
    </w:p>
    <w:p w:rsidR="00C751AD" w:rsidRPr="00025B88" w:rsidRDefault="00B701C0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t>All requirements are mandatory requirements (</w:t>
      </w:r>
      <w:r w:rsidRPr="00025B88">
        <w:rPr>
          <w:rFonts w:ascii="Arial" w:hAnsi="Arial" w:cs="Arial"/>
          <w:sz w:val="24"/>
          <w:szCs w:val="24"/>
          <w:u w:val="single"/>
        </w:rPr>
        <w:t>SHALL</w:t>
      </w:r>
      <w:r w:rsidRPr="00025B88">
        <w:rPr>
          <w:rFonts w:ascii="Arial" w:hAnsi="Arial" w:cs="Arial"/>
          <w:sz w:val="24"/>
          <w:szCs w:val="24"/>
        </w:rPr>
        <w:t>)</w:t>
      </w:r>
      <w:r w:rsidR="00204BD1" w:rsidRPr="00025B88">
        <w:rPr>
          <w:rFonts w:ascii="Arial" w:hAnsi="Arial" w:cs="Arial"/>
          <w:sz w:val="24"/>
          <w:szCs w:val="24"/>
        </w:rPr>
        <w:t xml:space="preserve"> </w:t>
      </w:r>
      <w:r w:rsidRPr="00025B88">
        <w:rPr>
          <w:rFonts w:ascii="Arial" w:hAnsi="Arial" w:cs="Arial"/>
          <w:sz w:val="24"/>
          <w:szCs w:val="24"/>
        </w:rPr>
        <w:t xml:space="preserve">and shall be fulfilled by the tenderer. If </w:t>
      </w:r>
      <w:r w:rsidR="00C751AD" w:rsidRPr="00025B88">
        <w:rPr>
          <w:rFonts w:ascii="Arial" w:hAnsi="Arial" w:cs="Arial"/>
          <w:sz w:val="24"/>
          <w:szCs w:val="24"/>
        </w:rPr>
        <w:t>just one of the</w:t>
      </w:r>
      <w:r w:rsidR="00204BD1" w:rsidRPr="00025B88">
        <w:rPr>
          <w:rFonts w:ascii="Arial" w:hAnsi="Arial" w:cs="Arial"/>
          <w:sz w:val="24"/>
          <w:szCs w:val="24"/>
        </w:rPr>
        <w:t xml:space="preserve"> mandatory requir</w:t>
      </w:r>
      <w:r w:rsidR="00204BD1" w:rsidRPr="00025B88">
        <w:rPr>
          <w:rFonts w:ascii="Arial" w:hAnsi="Arial" w:cs="Arial"/>
          <w:sz w:val="24"/>
          <w:szCs w:val="24"/>
        </w:rPr>
        <w:t>e</w:t>
      </w:r>
      <w:r w:rsidR="00204BD1" w:rsidRPr="00025B88">
        <w:rPr>
          <w:rFonts w:ascii="Arial" w:hAnsi="Arial" w:cs="Arial"/>
          <w:sz w:val="24"/>
          <w:szCs w:val="24"/>
        </w:rPr>
        <w:t>ment</w:t>
      </w:r>
      <w:r w:rsidR="00C751AD" w:rsidRPr="00025B88">
        <w:rPr>
          <w:rFonts w:ascii="Arial" w:hAnsi="Arial" w:cs="Arial"/>
          <w:sz w:val="24"/>
          <w:szCs w:val="24"/>
        </w:rPr>
        <w:t>s</w:t>
      </w:r>
      <w:r w:rsidR="00204BD1" w:rsidRPr="00025B88">
        <w:rPr>
          <w:rFonts w:ascii="Arial" w:hAnsi="Arial" w:cs="Arial"/>
          <w:sz w:val="24"/>
          <w:szCs w:val="24"/>
        </w:rPr>
        <w:t xml:space="preserve"> is not fulfilled, the tender</w:t>
      </w:r>
      <w:r w:rsidR="00C751AD" w:rsidRPr="00025B88">
        <w:rPr>
          <w:rFonts w:ascii="Arial" w:hAnsi="Arial" w:cs="Arial"/>
          <w:sz w:val="24"/>
          <w:szCs w:val="24"/>
        </w:rPr>
        <w:t xml:space="preserve">er's </w:t>
      </w:r>
      <w:r w:rsidR="00A51471" w:rsidRPr="00025B88">
        <w:rPr>
          <w:rFonts w:ascii="Arial" w:hAnsi="Arial" w:cs="Arial"/>
          <w:sz w:val="24"/>
          <w:szCs w:val="24"/>
        </w:rPr>
        <w:t xml:space="preserve">tender </w:t>
      </w:r>
      <w:r w:rsidR="00C751AD" w:rsidRPr="00025B88">
        <w:rPr>
          <w:rFonts w:ascii="Arial" w:hAnsi="Arial" w:cs="Arial"/>
          <w:sz w:val="24"/>
          <w:szCs w:val="24"/>
        </w:rPr>
        <w:t>will not be taken into further consideration.</w:t>
      </w:r>
      <w:r w:rsidR="00204BD1" w:rsidRPr="00025B88">
        <w:rPr>
          <w:rFonts w:ascii="Arial" w:hAnsi="Arial" w:cs="Arial"/>
          <w:sz w:val="24"/>
          <w:szCs w:val="24"/>
        </w:rPr>
        <w:t xml:space="preserve"> </w:t>
      </w:r>
    </w:p>
    <w:p w:rsidR="009C3A6C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061E0F" w:rsidRPr="00ED53EB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t>1</w:t>
      </w:r>
      <w:r w:rsidR="007A39D1" w:rsidRPr="00ED53EB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4</w:t>
      </w:r>
      <w:r w:rsidR="007A39D1" w:rsidRPr="00ED53EB">
        <w:rPr>
          <w:rFonts w:ascii="Arial" w:hAnsi="Arial" w:cs="Arial"/>
          <w:b/>
          <w:sz w:val="24"/>
          <w:szCs w:val="24"/>
        </w:rPr>
        <w:t xml:space="preserve">.  </w:t>
      </w:r>
      <w:r w:rsidR="00A51471" w:rsidRPr="00ED53EB">
        <w:rPr>
          <w:rFonts w:ascii="Arial" w:hAnsi="Arial" w:cs="Arial"/>
          <w:b/>
          <w:sz w:val="24"/>
          <w:szCs w:val="24"/>
        </w:rPr>
        <w:t>Requirement and response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080E7B" w:rsidTr="004874D7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ED53EB" w:rsidRDefault="00357223" w:rsidP="00903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Classif</w:t>
            </w:r>
            <w:r w:rsidRPr="00ED53EB">
              <w:rPr>
                <w:rFonts w:cstheme="minorHAnsi"/>
                <w:b/>
                <w:sz w:val="24"/>
                <w:szCs w:val="24"/>
              </w:rPr>
              <w:t>i</w:t>
            </w:r>
            <w:r w:rsidRPr="00ED53EB">
              <w:rPr>
                <w:rFonts w:cstheme="minorHAnsi"/>
                <w:b/>
                <w:sz w:val="24"/>
                <w:szCs w:val="24"/>
              </w:rPr>
              <w:t>cation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DALO remarks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025B88" w:rsidRDefault="008071E5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88">
              <w:rPr>
                <w:rFonts w:cstheme="minorHAnsi"/>
                <w:b/>
                <w:sz w:val="24"/>
                <w:szCs w:val="24"/>
              </w:rPr>
              <w:t>To be filled out be the tenderer</w:t>
            </w:r>
          </w:p>
        </w:tc>
      </w:tr>
      <w:tr w:rsidR="00F5760B" w:rsidRPr="00ED53EB" w:rsidTr="004874D7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B51208" w:rsidRPr="00025B88" w:rsidRDefault="00B512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025B88" w:rsidRDefault="00F5760B" w:rsidP="00172C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 compliance</w:t>
            </w:r>
          </w:p>
          <w:p w:rsidR="00822134" w:rsidRPr="00ED53EB" w:rsidRDefault="00822134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(tick a box)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Tenderer's description</w:t>
            </w:r>
          </w:p>
        </w:tc>
      </w:tr>
      <w:tr w:rsidR="00F5760B" w:rsidRPr="00ED53EB" w:rsidTr="001820CF">
        <w:trPr>
          <w:trHeight w:val="288"/>
        </w:trPr>
        <w:tc>
          <w:tcPr>
            <w:tcW w:w="526" w:type="dxa"/>
            <w:vMerge/>
            <w:vAlign w:val="center"/>
          </w:tcPr>
          <w:p w:rsidR="00B51208" w:rsidRPr="00ED53EB" w:rsidRDefault="00B51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5760B" w:rsidRPr="00ED53EB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392" w:type="dxa"/>
            <w:vMerge/>
          </w:tcPr>
          <w:p w:rsidR="00F5760B" w:rsidRPr="00ED53EB" w:rsidRDefault="00F5760B" w:rsidP="00DB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60B" w:rsidRPr="00ED53EB" w:rsidTr="008B6753">
        <w:tc>
          <w:tcPr>
            <w:tcW w:w="526" w:type="dxa"/>
            <w:vAlign w:val="center"/>
          </w:tcPr>
          <w:p w:rsidR="00B51208" w:rsidRPr="00ED53EB" w:rsidRDefault="00204B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F3F" w:rsidRPr="00956949" w:rsidRDefault="00787186" w:rsidP="0095694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Th</w:t>
            </w:r>
            <w:r w:rsidR="001820CF">
              <w:rPr>
                <w:rFonts w:asciiTheme="minorHAnsi" w:hAnsiTheme="minorHAnsi" w:cstheme="minorHAnsi"/>
                <w:sz w:val="24"/>
                <w:szCs w:val="24"/>
              </w:rPr>
              <w:t>e dry suit shall be a Viking Pro</w:t>
            </w: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2F3A">
              <w:rPr>
                <w:rFonts w:asciiTheme="minorHAnsi" w:hAnsiTheme="minorHAnsi" w:cstheme="minorHAnsi"/>
                <w:sz w:val="24"/>
                <w:szCs w:val="24"/>
              </w:rPr>
              <w:t xml:space="preserve">1000 </w:t>
            </w: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56949" w:rsidRPr="00956949">
              <w:rPr>
                <w:rFonts w:asciiTheme="minorHAnsi" w:hAnsiTheme="minorHAnsi" w:cstheme="minorHAnsi"/>
                <w:sz w:val="24"/>
                <w:szCs w:val="24"/>
              </w:rPr>
              <w:t>Product identification code</w:t>
            </w:r>
            <w:r w:rsidR="0095694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956949" w:rsidRPr="001820CF">
              <w:rPr>
                <w:rFonts w:asciiTheme="minorHAnsi" w:hAnsiTheme="minorHAnsi" w:cstheme="minorHAnsi"/>
                <w:sz w:val="24"/>
                <w:szCs w:val="24"/>
              </w:rPr>
              <w:t>Part nu</w:t>
            </w:r>
            <w:r w:rsidR="00956949" w:rsidRPr="001820C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56949" w:rsidRPr="001820CF">
              <w:rPr>
                <w:rFonts w:asciiTheme="minorHAnsi" w:hAnsiTheme="minorHAnsi" w:cstheme="minorHAnsi"/>
                <w:sz w:val="24"/>
                <w:szCs w:val="24"/>
              </w:rPr>
              <w:t>ber</w:t>
            </w:r>
            <w:r w:rsidR="001820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20CF" w:rsidRPr="001820CF">
              <w:rPr>
                <w:rFonts w:asciiTheme="minorHAnsi" w:hAnsiTheme="minorHAnsi" w:cstheme="minorHAnsi"/>
                <w:sz w:val="24"/>
                <w:szCs w:val="24"/>
              </w:rPr>
              <w:t>2200010000</w:t>
            </w: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:rsidR="00F5760B" w:rsidRPr="00956949" w:rsidRDefault="00357223" w:rsidP="00F5760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6949">
              <w:rPr>
                <w:rFonts w:eastAsia="Calibri"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F5760B" w:rsidRPr="00956949" w:rsidRDefault="00F5760B" w:rsidP="002D0A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F5760B" w:rsidRPr="00956949" w:rsidRDefault="00F5760B" w:rsidP="00290F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F5760B" w:rsidRPr="00956949" w:rsidRDefault="00F5760B" w:rsidP="00290F57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F5760B" w:rsidRPr="00956949" w:rsidRDefault="00F5760B" w:rsidP="00290F57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5760B" w:rsidRPr="00080E7B" w:rsidTr="00956949">
        <w:tc>
          <w:tcPr>
            <w:tcW w:w="526" w:type="dxa"/>
            <w:vAlign w:val="center"/>
          </w:tcPr>
          <w:p w:rsidR="00B51208" w:rsidRPr="00ED53EB" w:rsidRDefault="007D5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6753" w:rsidRDefault="00787186" w:rsidP="0095694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The configuration of the dry</w:t>
            </w:r>
            <w:r w:rsidR="001820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suit shall be as follows:</w:t>
            </w:r>
            <w:r w:rsidR="008B67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B6753" w:rsidRPr="00956949" w:rsidRDefault="00787186" w:rsidP="008B6753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 xml:space="preserve">Certified according to </w:t>
            </w:r>
          </w:p>
          <w:p w:rsidR="00787186" w:rsidRPr="00956949" w:rsidRDefault="00787186" w:rsidP="008B6753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 w:val="24"/>
                <w:szCs w:val="24"/>
              </w:rPr>
            </w:pP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EN14225-2:2005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Standard</w:t>
            </w:r>
            <w:bookmarkStart w:id="0" w:name="_GoBack"/>
            <w:bookmarkEnd w:id="0"/>
            <w:r w:rsidRPr="00956949">
              <w:rPr>
                <w:rFonts w:asciiTheme="minorHAnsi" w:hAnsiTheme="minorHAnsi" w:cstheme="minorHAnsi"/>
                <w:sz w:val="24"/>
                <w:szCs w:val="24"/>
              </w:rPr>
              <w:t xml:space="preserve">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Rear entry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C7771" w:rsidRPr="00956949">
              <w:rPr>
                <w:rFonts w:asciiTheme="minorHAnsi" w:hAnsiTheme="minorHAnsi" w:cstheme="minorHAnsi"/>
                <w:sz w:val="24"/>
                <w:szCs w:val="24"/>
              </w:rPr>
              <w:t>Nonmagnetic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 xml:space="preserve"> zipper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HD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Relief zipper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Viking arm marking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Military marking (all black/</w:t>
            </w:r>
            <w:proofErr w:type="spellStart"/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embosed</w:t>
            </w:r>
            <w:proofErr w:type="spellEnd"/>
            <w:r w:rsidRPr="00956949">
              <w:rPr>
                <w:rFonts w:asciiTheme="minorHAnsi" w:hAnsiTheme="minorHAnsi" w:cstheme="minorHAnsi"/>
                <w:sz w:val="24"/>
                <w:szCs w:val="24"/>
              </w:rPr>
              <w:t xml:space="preserve">) : 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Nonmagnetic valves / hose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Inlet valve placement : Left thigh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Exhaust valve placement : Upper left arm (std)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Inlet valve (NM) : Si-Tech Std nonma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netic valve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Exhaust valve (NM) : Si-Tech X2 no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magnetic valve black lid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Hose (NM) : NO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Latex </w:t>
            </w:r>
            <w:proofErr w:type="spellStart"/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neckseal</w:t>
            </w:r>
            <w:proofErr w:type="spellEnd"/>
            <w:r w:rsidRPr="00956949">
              <w:rPr>
                <w:rFonts w:asciiTheme="minorHAnsi" w:hAnsiTheme="minorHAnsi" w:cstheme="minorHAnsi"/>
                <w:sz w:val="24"/>
                <w:szCs w:val="24"/>
              </w:rPr>
              <w:t xml:space="preserve"> : Surveyor/Latex, Std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Glued on suit : Yes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Latex cuff : Pro cuff</w:t>
            </w:r>
            <w:r w:rsidRPr="00956949">
              <w:rPr>
                <w:rFonts w:asciiTheme="minorHAnsi" w:hAnsiTheme="minorHAnsi" w:cstheme="minorHAnsi"/>
                <w:sz w:val="24"/>
                <w:szCs w:val="24"/>
              </w:rPr>
              <w:br/>
              <w:t>Rubber sole size : Standard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760B" w:rsidRPr="00956949" w:rsidRDefault="00357223" w:rsidP="00F5760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6949">
              <w:rPr>
                <w:rFonts w:eastAsia="Calibri" w:cstheme="minorHAnsi"/>
                <w:sz w:val="24"/>
                <w:szCs w:val="24"/>
              </w:rPr>
              <w:lastRenderedPageBreak/>
              <w:t>SHALL</w:t>
            </w:r>
          </w:p>
        </w:tc>
        <w:tc>
          <w:tcPr>
            <w:tcW w:w="3581" w:type="dxa"/>
          </w:tcPr>
          <w:p w:rsidR="002D0A4F" w:rsidRPr="00956949" w:rsidRDefault="002D0A4F" w:rsidP="002D0A4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:rsidR="002D0A4F" w:rsidRPr="00956949" w:rsidRDefault="002D0A4F" w:rsidP="002D0A4F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F5760B" w:rsidRPr="00956949" w:rsidRDefault="00F5760B" w:rsidP="0046128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F5760B" w:rsidRPr="00956949" w:rsidRDefault="00F5760B" w:rsidP="0046128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F5760B" w:rsidRPr="00956949" w:rsidRDefault="00F5760B" w:rsidP="0046128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A0726" w:rsidRPr="00080E7B" w:rsidTr="00956949">
        <w:trPr>
          <w:trHeight w:val="1175"/>
        </w:trPr>
        <w:tc>
          <w:tcPr>
            <w:tcW w:w="526" w:type="dxa"/>
            <w:vAlign w:val="center"/>
          </w:tcPr>
          <w:p w:rsidR="001A0726" w:rsidRPr="00ED53EB" w:rsidRDefault="006E0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B27EF" w:rsidRPr="001820CF" w:rsidRDefault="001820CF" w:rsidP="0095694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The supplier shall supply 31 of size 03</w:t>
            </w:r>
            <w:r w:rsidR="001F2988">
              <w:rPr>
                <w:rFonts w:asciiTheme="minorHAnsi" w:hAnsiTheme="minorHAnsi" w:cstheme="minorHAnsi"/>
                <w:sz w:val="24"/>
                <w:szCs w:val="24"/>
              </w:rPr>
              <w:t>/Extra Large (XL)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1A0726" w:rsidRPr="00956949" w:rsidRDefault="001820CF" w:rsidP="0095694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6949">
              <w:rPr>
                <w:rFonts w:eastAsia="Calibri"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1A0726" w:rsidRPr="00956949" w:rsidRDefault="001A0726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726" w:rsidRPr="00956949" w:rsidRDefault="001A0726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1A0726" w:rsidRPr="00956949" w:rsidRDefault="001A0726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8A18B6" w:rsidRPr="00025B88" w:rsidRDefault="008A18B6" w:rsidP="00956949">
            <w:pPr>
              <w:pStyle w:val="Listeafsnit"/>
              <w:tabs>
                <w:tab w:val="left" w:pos="0"/>
              </w:tabs>
              <w:spacing w:after="200"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E49" w:rsidRPr="00080E7B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025B88" w:rsidRDefault="006E0BE6" w:rsidP="001258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1820CF" w:rsidRDefault="001820CF" w:rsidP="0095694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20CF">
              <w:rPr>
                <w:rFonts w:asciiTheme="minorHAnsi" w:hAnsiTheme="minorHAnsi" w:cstheme="minorHAnsi"/>
                <w:sz w:val="24"/>
                <w:szCs w:val="24"/>
              </w:rPr>
              <w:t>The supplier shall supply 11 of size 02</w:t>
            </w:r>
            <w:r w:rsidR="001F2988">
              <w:rPr>
                <w:rFonts w:asciiTheme="minorHAnsi" w:hAnsiTheme="minorHAnsi" w:cstheme="minorHAnsi"/>
                <w:sz w:val="24"/>
                <w:szCs w:val="24"/>
              </w:rPr>
              <w:t>/Large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956949" w:rsidRDefault="001820CF" w:rsidP="0095694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6949">
              <w:rPr>
                <w:rFonts w:eastAsia="Calibri"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956949" w:rsidRDefault="00E15E49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956949" w:rsidRDefault="00E15E49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956949" w:rsidRDefault="00E15E49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E15E49" w:rsidRDefault="00E15E49" w:rsidP="00956949">
            <w:pPr>
              <w:pStyle w:val="Listeafsnit"/>
              <w:tabs>
                <w:tab w:val="left" w:pos="0"/>
              </w:tabs>
              <w:spacing w:after="200"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B6753" w:rsidRPr="00080E7B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53" w:rsidRDefault="008B6753" w:rsidP="001258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3" w:rsidRPr="00956949" w:rsidRDefault="008B6753" w:rsidP="00956949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56949">
              <w:rPr>
                <w:rFonts w:asciiTheme="minorHAnsi" w:hAnsiTheme="minorHAnsi" w:cstheme="minorHAnsi"/>
                <w:sz w:val="24"/>
                <w:szCs w:val="24"/>
              </w:rPr>
              <w:t>The delivery time must be less than 84 calendar days from submission of the purchase order.</w:t>
            </w:r>
          </w:p>
          <w:p w:rsidR="008B6753" w:rsidRPr="00956949" w:rsidRDefault="008B6753" w:rsidP="0095694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53" w:rsidRPr="00956949" w:rsidRDefault="008B6753" w:rsidP="0095694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6949">
              <w:rPr>
                <w:rFonts w:eastAsia="Calibri"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3" w:rsidRPr="00956949" w:rsidRDefault="008B6753" w:rsidP="00956949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3" w:rsidRPr="00956949" w:rsidRDefault="008B6753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3" w:rsidRPr="00956949" w:rsidRDefault="008B6753" w:rsidP="00956949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3" w:rsidRPr="00E15E49" w:rsidRDefault="008B6753" w:rsidP="00956949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01280" w:rsidRPr="00170EC1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170EC1" w:rsidSect="00576617">
      <w:headerReference w:type="default" r:id="rId13"/>
      <w:footerReference w:type="default" r:id="rId14"/>
      <w:pgSz w:w="16838" w:h="11906" w:orient="landscape"/>
      <w:pgMar w:top="993" w:right="992" w:bottom="142" w:left="1701" w:header="709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F1" w:rsidRDefault="00E960F1" w:rsidP="00554DDE">
      <w:pPr>
        <w:spacing w:after="0" w:line="240" w:lineRule="auto"/>
      </w:pPr>
      <w:r>
        <w:separator/>
      </w:r>
    </w:p>
  </w:endnote>
  <w:endnote w:type="continuationSeparator" w:id="0">
    <w:p w:rsidR="00E960F1" w:rsidRDefault="00E960F1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Content>
          <w:p w:rsidR="007B27EF" w:rsidRPr="00576617" w:rsidRDefault="00576617" w:rsidP="00576617">
            <w:pPr>
              <w:pStyle w:val="Sidefod"/>
              <w:tabs>
                <w:tab w:val="clear" w:pos="4819"/>
                <w:tab w:val="clear" w:pos="9638"/>
                <w:tab w:val="center" w:pos="6237"/>
                <w:tab w:val="right" w:pos="14175"/>
              </w:tabs>
              <w:rPr>
                <w:sz w:val="20"/>
                <w:szCs w:val="20"/>
              </w:rPr>
            </w:pPr>
            <w:r w:rsidRPr="00576617">
              <w:rPr>
                <w:sz w:val="20"/>
                <w:szCs w:val="20"/>
              </w:rPr>
              <w:t>DALO</w:t>
            </w:r>
            <w:r w:rsidRPr="00576617">
              <w:rPr>
                <w:sz w:val="20"/>
                <w:szCs w:val="20"/>
              </w:rPr>
              <w:tab/>
              <w:t xml:space="preserve">Version </w:t>
            </w:r>
            <w:r w:rsidR="00252461">
              <w:rPr>
                <w:sz w:val="20"/>
                <w:szCs w:val="20"/>
              </w:rPr>
              <w:t>4.0</w:t>
            </w:r>
            <w:r w:rsidRPr="00576617">
              <w:rPr>
                <w:sz w:val="20"/>
                <w:szCs w:val="20"/>
              </w:rPr>
              <w:tab/>
              <w:t>Page</w:t>
            </w:r>
            <w:r w:rsidR="007B27EF" w:rsidRPr="00576617">
              <w:rPr>
                <w:sz w:val="20"/>
                <w:szCs w:val="20"/>
              </w:rPr>
              <w:t xml:space="preserve"> </w:t>
            </w:r>
            <w:r w:rsidR="00C2434C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PAGE</w:instrText>
            </w:r>
            <w:r w:rsidR="00C2434C" w:rsidRPr="00576617">
              <w:rPr>
                <w:sz w:val="20"/>
                <w:szCs w:val="20"/>
              </w:rPr>
              <w:fldChar w:fldCharType="separate"/>
            </w:r>
            <w:r w:rsidR="00111675">
              <w:rPr>
                <w:noProof/>
                <w:sz w:val="20"/>
                <w:szCs w:val="20"/>
              </w:rPr>
              <w:t>1</w:t>
            </w:r>
            <w:r w:rsidR="00C2434C" w:rsidRPr="00576617">
              <w:rPr>
                <w:sz w:val="20"/>
                <w:szCs w:val="20"/>
              </w:rPr>
              <w:fldChar w:fldCharType="end"/>
            </w:r>
            <w:r w:rsidR="007B27EF" w:rsidRPr="00576617">
              <w:rPr>
                <w:sz w:val="20"/>
                <w:szCs w:val="20"/>
              </w:rPr>
              <w:t xml:space="preserve"> af </w:t>
            </w:r>
            <w:r w:rsidR="00C2434C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NUMPAGES</w:instrText>
            </w:r>
            <w:r w:rsidR="00C2434C" w:rsidRPr="00576617">
              <w:rPr>
                <w:sz w:val="20"/>
                <w:szCs w:val="20"/>
              </w:rPr>
              <w:fldChar w:fldCharType="separate"/>
            </w:r>
            <w:r w:rsidR="00111675">
              <w:rPr>
                <w:noProof/>
                <w:sz w:val="20"/>
                <w:szCs w:val="20"/>
              </w:rPr>
              <w:t>5</w:t>
            </w:r>
            <w:r w:rsidR="00C2434C" w:rsidRPr="0057661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7B27EF" w:rsidRDefault="007B27E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F1" w:rsidRDefault="00E960F1" w:rsidP="00554DDE">
      <w:pPr>
        <w:spacing w:after="0" w:line="240" w:lineRule="auto"/>
      </w:pPr>
      <w:r>
        <w:separator/>
      </w:r>
    </w:p>
  </w:footnote>
  <w:footnote w:type="continuationSeparator" w:id="0">
    <w:p w:rsidR="00E960F1" w:rsidRDefault="00E960F1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EF" w:rsidRDefault="00DC2A31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1042035</wp:posOffset>
          </wp:positionH>
          <wp:positionV relativeFrom="page">
            <wp:posOffset>415925</wp:posOffset>
          </wp:positionV>
          <wp:extent cx="3693160" cy="582930"/>
          <wp:effectExtent l="0" t="0" r="0" b="0"/>
          <wp:wrapTight wrapText="bothSides">
            <wp:wrapPolygon edited="0">
              <wp:start x="891" y="2824"/>
              <wp:lineTo x="0" y="10588"/>
              <wp:lineTo x="223" y="19059"/>
              <wp:lineTo x="17715" y="19059"/>
              <wp:lineTo x="17938" y="8471"/>
              <wp:lineTo x="15041" y="6353"/>
              <wp:lineTo x="1448" y="2824"/>
              <wp:lineTo x="891" y="2824"/>
            </wp:wrapPolygon>
          </wp:wrapTight>
          <wp:docPr id="8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7EF">
      <w:tab/>
    </w:r>
    <w:r w:rsidR="007B27EF">
      <w:tab/>
    </w:r>
  </w:p>
  <w:p w:rsidR="00CC79B8" w:rsidRDefault="00CC79B8" w:rsidP="00440EA4">
    <w:pPr>
      <w:rPr>
        <w:rFonts w:ascii="Arial" w:hAnsi="Arial" w:cs="Arial"/>
        <w:sz w:val="24"/>
        <w:szCs w:val="24"/>
      </w:rPr>
    </w:pPr>
  </w:p>
  <w:p w:rsidR="007B27EF" w:rsidRPr="00D33A5C" w:rsidRDefault="007B27EF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7B27EF" w:rsidRDefault="007B27EF" w:rsidP="00440EA4">
    <w:pPr>
      <w:pStyle w:val="Sidehoved"/>
      <w:tabs>
        <w:tab w:val="left" w:pos="4125"/>
      </w:tabs>
    </w:pPr>
  </w:p>
  <w:p w:rsidR="007B27EF" w:rsidRDefault="007B27E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TMS_Template_ID" w:val="0"/>
  </w:docVars>
  <w:rsids>
    <w:rsidRoot w:val="00554DDE"/>
    <w:rsid w:val="000109AF"/>
    <w:rsid w:val="00025B88"/>
    <w:rsid w:val="0002643B"/>
    <w:rsid w:val="00061E0F"/>
    <w:rsid w:val="00080E7B"/>
    <w:rsid w:val="00082223"/>
    <w:rsid w:val="00084BC0"/>
    <w:rsid w:val="000A43C8"/>
    <w:rsid w:val="000A7EA8"/>
    <w:rsid w:val="000B12CC"/>
    <w:rsid w:val="000B2943"/>
    <w:rsid w:val="000C3111"/>
    <w:rsid w:val="000E3EA6"/>
    <w:rsid w:val="000F3F62"/>
    <w:rsid w:val="00100A08"/>
    <w:rsid w:val="0011140F"/>
    <w:rsid w:val="00111675"/>
    <w:rsid w:val="00113806"/>
    <w:rsid w:val="00120E84"/>
    <w:rsid w:val="00126325"/>
    <w:rsid w:val="00132946"/>
    <w:rsid w:val="00137AE2"/>
    <w:rsid w:val="001401C5"/>
    <w:rsid w:val="00141FCC"/>
    <w:rsid w:val="00145DDE"/>
    <w:rsid w:val="001500BC"/>
    <w:rsid w:val="00153255"/>
    <w:rsid w:val="0016412B"/>
    <w:rsid w:val="00170EC1"/>
    <w:rsid w:val="00172C2E"/>
    <w:rsid w:val="001803ED"/>
    <w:rsid w:val="001820CF"/>
    <w:rsid w:val="0018496B"/>
    <w:rsid w:val="001A0726"/>
    <w:rsid w:val="001A2E08"/>
    <w:rsid w:val="001B6EDE"/>
    <w:rsid w:val="001C52FB"/>
    <w:rsid w:val="001D619A"/>
    <w:rsid w:val="001E1B09"/>
    <w:rsid w:val="001E5161"/>
    <w:rsid w:val="001F2988"/>
    <w:rsid w:val="00204BD1"/>
    <w:rsid w:val="00223BC5"/>
    <w:rsid w:val="0023032B"/>
    <w:rsid w:val="0024013A"/>
    <w:rsid w:val="00252461"/>
    <w:rsid w:val="00267D94"/>
    <w:rsid w:val="00271A58"/>
    <w:rsid w:val="00272680"/>
    <w:rsid w:val="002741D8"/>
    <w:rsid w:val="00274EC2"/>
    <w:rsid w:val="002879B7"/>
    <w:rsid w:val="00290F57"/>
    <w:rsid w:val="0029431F"/>
    <w:rsid w:val="002A2049"/>
    <w:rsid w:val="002D0A4F"/>
    <w:rsid w:val="002D0B50"/>
    <w:rsid w:val="002F2E3A"/>
    <w:rsid w:val="00321AC1"/>
    <w:rsid w:val="0032261D"/>
    <w:rsid w:val="00323665"/>
    <w:rsid w:val="00337C7D"/>
    <w:rsid w:val="003422B2"/>
    <w:rsid w:val="00357223"/>
    <w:rsid w:val="003752EC"/>
    <w:rsid w:val="0038273A"/>
    <w:rsid w:val="003858FA"/>
    <w:rsid w:val="003B0D50"/>
    <w:rsid w:val="003E16E8"/>
    <w:rsid w:val="003E590B"/>
    <w:rsid w:val="00407DBC"/>
    <w:rsid w:val="00433A30"/>
    <w:rsid w:val="00440EA4"/>
    <w:rsid w:val="0046128B"/>
    <w:rsid w:val="00467C17"/>
    <w:rsid w:val="00481762"/>
    <w:rsid w:val="004874D7"/>
    <w:rsid w:val="00493F46"/>
    <w:rsid w:val="004A72B7"/>
    <w:rsid w:val="004B2504"/>
    <w:rsid w:val="004C0A5C"/>
    <w:rsid w:val="004C3778"/>
    <w:rsid w:val="004E5DA0"/>
    <w:rsid w:val="004F0AAE"/>
    <w:rsid w:val="00554DDE"/>
    <w:rsid w:val="0055733D"/>
    <w:rsid w:val="00576617"/>
    <w:rsid w:val="005A6921"/>
    <w:rsid w:val="005C6E1C"/>
    <w:rsid w:val="005C7771"/>
    <w:rsid w:val="005D21AA"/>
    <w:rsid w:val="005D28CB"/>
    <w:rsid w:val="005D3609"/>
    <w:rsid w:val="005E5E0A"/>
    <w:rsid w:val="005F2B23"/>
    <w:rsid w:val="00612AEA"/>
    <w:rsid w:val="00614513"/>
    <w:rsid w:val="00617024"/>
    <w:rsid w:val="006200DF"/>
    <w:rsid w:val="00620B80"/>
    <w:rsid w:val="00622FC1"/>
    <w:rsid w:val="00647801"/>
    <w:rsid w:val="00654CC5"/>
    <w:rsid w:val="00665DDE"/>
    <w:rsid w:val="00680AD5"/>
    <w:rsid w:val="006849BD"/>
    <w:rsid w:val="00692730"/>
    <w:rsid w:val="00695650"/>
    <w:rsid w:val="006B3707"/>
    <w:rsid w:val="006C3245"/>
    <w:rsid w:val="006D14D3"/>
    <w:rsid w:val="006E0AE1"/>
    <w:rsid w:val="006E0BE6"/>
    <w:rsid w:val="006E3D4E"/>
    <w:rsid w:val="006E46D1"/>
    <w:rsid w:val="006E4B71"/>
    <w:rsid w:val="00717355"/>
    <w:rsid w:val="00721696"/>
    <w:rsid w:val="0073158D"/>
    <w:rsid w:val="0073613F"/>
    <w:rsid w:val="007363C2"/>
    <w:rsid w:val="00740A94"/>
    <w:rsid w:val="00754286"/>
    <w:rsid w:val="007555D8"/>
    <w:rsid w:val="00763CF1"/>
    <w:rsid w:val="00766A4A"/>
    <w:rsid w:val="007718B4"/>
    <w:rsid w:val="007837A2"/>
    <w:rsid w:val="00784BED"/>
    <w:rsid w:val="00787186"/>
    <w:rsid w:val="007A39D1"/>
    <w:rsid w:val="007B27EF"/>
    <w:rsid w:val="007C2E9E"/>
    <w:rsid w:val="007C6430"/>
    <w:rsid w:val="007D5D1C"/>
    <w:rsid w:val="008026EB"/>
    <w:rsid w:val="008071E5"/>
    <w:rsid w:val="008173CB"/>
    <w:rsid w:val="00822134"/>
    <w:rsid w:val="00843FC8"/>
    <w:rsid w:val="0084417D"/>
    <w:rsid w:val="00851EF8"/>
    <w:rsid w:val="0085488D"/>
    <w:rsid w:val="00867CF6"/>
    <w:rsid w:val="0087169B"/>
    <w:rsid w:val="00874DC3"/>
    <w:rsid w:val="008A18B6"/>
    <w:rsid w:val="008A3E9E"/>
    <w:rsid w:val="008B157F"/>
    <w:rsid w:val="008B6753"/>
    <w:rsid w:val="008C74A5"/>
    <w:rsid w:val="008D44DF"/>
    <w:rsid w:val="008D5376"/>
    <w:rsid w:val="008E2472"/>
    <w:rsid w:val="009037A5"/>
    <w:rsid w:val="00914374"/>
    <w:rsid w:val="0091553B"/>
    <w:rsid w:val="00942210"/>
    <w:rsid w:val="009453BE"/>
    <w:rsid w:val="00953FB7"/>
    <w:rsid w:val="00956949"/>
    <w:rsid w:val="00962224"/>
    <w:rsid w:val="009636CA"/>
    <w:rsid w:val="00967219"/>
    <w:rsid w:val="009752DB"/>
    <w:rsid w:val="00976C10"/>
    <w:rsid w:val="00980033"/>
    <w:rsid w:val="00982881"/>
    <w:rsid w:val="009949FC"/>
    <w:rsid w:val="009A7BA7"/>
    <w:rsid w:val="009C3A6C"/>
    <w:rsid w:val="009C47CC"/>
    <w:rsid w:val="009E6D1E"/>
    <w:rsid w:val="00A01280"/>
    <w:rsid w:val="00A0313E"/>
    <w:rsid w:val="00A163E7"/>
    <w:rsid w:val="00A21D16"/>
    <w:rsid w:val="00A37F55"/>
    <w:rsid w:val="00A51471"/>
    <w:rsid w:val="00A51B34"/>
    <w:rsid w:val="00A5283D"/>
    <w:rsid w:val="00A71A08"/>
    <w:rsid w:val="00A726AD"/>
    <w:rsid w:val="00A73521"/>
    <w:rsid w:val="00A80287"/>
    <w:rsid w:val="00A81115"/>
    <w:rsid w:val="00A82E4D"/>
    <w:rsid w:val="00AA41E5"/>
    <w:rsid w:val="00AD4BD3"/>
    <w:rsid w:val="00B06FAE"/>
    <w:rsid w:val="00B11CC5"/>
    <w:rsid w:val="00B34C3D"/>
    <w:rsid w:val="00B40DFF"/>
    <w:rsid w:val="00B51208"/>
    <w:rsid w:val="00B701C0"/>
    <w:rsid w:val="00B91B88"/>
    <w:rsid w:val="00B9586D"/>
    <w:rsid w:val="00BA076C"/>
    <w:rsid w:val="00BA1458"/>
    <w:rsid w:val="00BB5C07"/>
    <w:rsid w:val="00BE4668"/>
    <w:rsid w:val="00BE6D0D"/>
    <w:rsid w:val="00BF604B"/>
    <w:rsid w:val="00C009E9"/>
    <w:rsid w:val="00C1277F"/>
    <w:rsid w:val="00C13623"/>
    <w:rsid w:val="00C2434C"/>
    <w:rsid w:val="00C256DD"/>
    <w:rsid w:val="00C31634"/>
    <w:rsid w:val="00C52F59"/>
    <w:rsid w:val="00C574FC"/>
    <w:rsid w:val="00C66A98"/>
    <w:rsid w:val="00C71B90"/>
    <w:rsid w:val="00C751AD"/>
    <w:rsid w:val="00CB4E08"/>
    <w:rsid w:val="00CC79B8"/>
    <w:rsid w:val="00D172B8"/>
    <w:rsid w:val="00D17E7E"/>
    <w:rsid w:val="00D32F3A"/>
    <w:rsid w:val="00D33A5C"/>
    <w:rsid w:val="00D36480"/>
    <w:rsid w:val="00D774CB"/>
    <w:rsid w:val="00D77C58"/>
    <w:rsid w:val="00D803A7"/>
    <w:rsid w:val="00D95550"/>
    <w:rsid w:val="00D96F3F"/>
    <w:rsid w:val="00DA6B33"/>
    <w:rsid w:val="00DB4CF3"/>
    <w:rsid w:val="00DC2A31"/>
    <w:rsid w:val="00DC697B"/>
    <w:rsid w:val="00DE5A09"/>
    <w:rsid w:val="00DF6986"/>
    <w:rsid w:val="00E04E77"/>
    <w:rsid w:val="00E06CE5"/>
    <w:rsid w:val="00E11DEE"/>
    <w:rsid w:val="00E15E49"/>
    <w:rsid w:val="00E16A5B"/>
    <w:rsid w:val="00E17A4E"/>
    <w:rsid w:val="00E31513"/>
    <w:rsid w:val="00E47580"/>
    <w:rsid w:val="00E600E3"/>
    <w:rsid w:val="00E6087D"/>
    <w:rsid w:val="00E6135D"/>
    <w:rsid w:val="00E634CE"/>
    <w:rsid w:val="00E6639F"/>
    <w:rsid w:val="00E952D5"/>
    <w:rsid w:val="00E960F1"/>
    <w:rsid w:val="00EB1BB4"/>
    <w:rsid w:val="00EB4466"/>
    <w:rsid w:val="00EC15D4"/>
    <w:rsid w:val="00EC4ECF"/>
    <w:rsid w:val="00ED4520"/>
    <w:rsid w:val="00ED53EB"/>
    <w:rsid w:val="00ED79D1"/>
    <w:rsid w:val="00EE2369"/>
    <w:rsid w:val="00EE7A89"/>
    <w:rsid w:val="00EE7E8E"/>
    <w:rsid w:val="00EF67E3"/>
    <w:rsid w:val="00F0460E"/>
    <w:rsid w:val="00F048CF"/>
    <w:rsid w:val="00F111C0"/>
    <w:rsid w:val="00F20722"/>
    <w:rsid w:val="00F24679"/>
    <w:rsid w:val="00F31FE2"/>
    <w:rsid w:val="00F32676"/>
    <w:rsid w:val="00F37659"/>
    <w:rsid w:val="00F42911"/>
    <w:rsid w:val="00F53206"/>
    <w:rsid w:val="00F53463"/>
    <w:rsid w:val="00F53A05"/>
    <w:rsid w:val="00F5760B"/>
    <w:rsid w:val="00F57ED5"/>
    <w:rsid w:val="00F819B0"/>
    <w:rsid w:val="00FA156D"/>
    <w:rsid w:val="00FA442B"/>
    <w:rsid w:val="00FD6593"/>
    <w:rsid w:val="00FE672D"/>
    <w:rsid w:val="00FF698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4C"/>
  </w:style>
  <w:style w:type="paragraph" w:styleId="Overskrift1">
    <w:name w:val="heading 1"/>
    <w:basedOn w:val="Normal"/>
    <w:next w:val="Normal"/>
    <w:link w:val="Overskrift1Tegn"/>
    <w:uiPriority w:val="9"/>
    <w:qFormat/>
    <w:rsid w:val="005C7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77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7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77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77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77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77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5C77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7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7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77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77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77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77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77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77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5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1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9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9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FMIDOC-639-63</_dlc_DocId>
    <_dlc_DocIdUrl xmlns="b92a7b62-18c2-4926-a891-55c0c57152a8">
      <Url>http://fish.msp.forsvaret.fiin.dk/myn/fmi/Viden-Om/juridisk/_layouts/DocIdRedir.aspx?ID=FMIDOC-639-63</Url>
      <Description>FMIDOC-639-63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3C9F5-8D1C-449E-8926-0667F2C419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4E8AEC-0878-43B9-8C63-14F2C7C7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0EADB-B781-495A-81C6-104C031853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29EE4-5491-48FE-B66D-70F7B066B3B1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5.xml><?xml version="1.0" encoding="utf-8"?>
<ds:datastoreItem xmlns:ds="http://schemas.openxmlformats.org/officeDocument/2006/customXml" ds:itemID="{17973E2F-32EF-4EA6-9103-D5205A8D01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CDBC9F9-0F51-4626-81A3-672CC440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00419952</cp:lastModifiedBy>
  <cp:revision>2</cp:revision>
  <cp:lastPrinted>2013-10-25T13:04:00Z</cp:lastPrinted>
  <dcterms:created xsi:type="dcterms:W3CDTF">2020-02-13T06:39:00Z</dcterms:created>
  <dcterms:modified xsi:type="dcterms:W3CDTF">2020-02-13T06:39:00Z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5c8d80b0-8495-4625-b3ee-f546be4dca55</vt:lpwstr>
  </property>
  <property fmtid="{D5CDD505-2E9C-101B-9397-08002B2CF9AE}" pid="4" name="Order">
    <vt:r8>46600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TitusGUID">
    <vt:lpwstr>1eddfbed-f7af-424d-900a-7d7128c668a8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