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B824C" w14:textId="77777777"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14:paraId="32D7277A" w14:textId="77777777" w:rsidR="009315D4" w:rsidRDefault="001B407A" w:rsidP="009315D4">
      <w:pPr>
        <w:jc w:val="center"/>
        <w:rPr>
          <w:b/>
          <w:sz w:val="24"/>
        </w:rPr>
      </w:pPr>
      <w:r w:rsidRPr="00386C37">
        <w:rPr>
          <w:b/>
          <w:sz w:val="24"/>
        </w:rPr>
        <w:t>Terms and Conditions for Trade</w:t>
      </w:r>
      <w:r w:rsidR="009315D4">
        <w:rPr>
          <w:b/>
          <w:sz w:val="24"/>
        </w:rPr>
        <w:t xml:space="preserve"> </w:t>
      </w:r>
    </w:p>
    <w:p w14:paraId="63823BC2" w14:textId="2AA5B9D7" w:rsidR="000B5D5D" w:rsidRPr="009315D4" w:rsidRDefault="009315D4" w:rsidP="009315D4">
      <w:pPr>
        <w:jc w:val="center"/>
        <w:rPr>
          <w:b/>
          <w:sz w:val="24"/>
        </w:rPr>
      </w:pPr>
      <w:r>
        <w:rPr>
          <w:b/>
          <w:sz w:val="24"/>
        </w:rPr>
        <w:t xml:space="preserve">- </w:t>
      </w:r>
      <w:r w:rsidR="001B407A" w:rsidRPr="009315D4">
        <w:rPr>
          <w:b/>
          <w:sz w:val="24"/>
        </w:rPr>
        <w:t>with liquidated damages</w:t>
      </w:r>
    </w:p>
    <w:p w14:paraId="018D566A" w14:textId="77777777" w:rsidR="000B5D5D" w:rsidRDefault="000B5D5D" w:rsidP="000B5D5D">
      <w:pPr>
        <w:jc w:val="center"/>
        <w:rPr>
          <w:b/>
          <w:sz w:val="24"/>
        </w:rPr>
      </w:pPr>
    </w:p>
    <w:p w14:paraId="22CD4037" w14:textId="77777777" w:rsidR="000B5D5D" w:rsidRDefault="000B5D5D" w:rsidP="000B5D5D">
      <w:pPr>
        <w:jc w:val="center"/>
        <w:rPr>
          <w:b/>
          <w:sz w:val="24"/>
        </w:rPr>
        <w:sectPr w:rsidR="000B5D5D" w:rsidSect="000B5D5D">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space="566"/>
          <w:titlePg/>
          <w:docGrid w:linePitch="360"/>
        </w:sectPr>
      </w:pPr>
    </w:p>
    <w:p w14:paraId="4F39D8A7" w14:textId="77777777" w:rsidR="001B407A" w:rsidRDefault="001B407A" w:rsidP="00CD6C46">
      <w:pPr>
        <w:rPr>
          <w:lang w:val="en-GB"/>
        </w:rPr>
      </w:pPr>
    </w:p>
    <w:p w14:paraId="63CDA360" w14:textId="77777777" w:rsidR="00B9644E" w:rsidRPr="00791AB9" w:rsidRDefault="00B9644E" w:rsidP="00CD6C46">
      <w:pPr>
        <w:pStyle w:val="Overskrift1"/>
        <w:rPr>
          <w:lang w:val="en-GB"/>
        </w:rPr>
      </w:pPr>
      <w:r w:rsidRPr="00791AB9">
        <w:rPr>
          <w:lang w:val="en-GB"/>
        </w:rPr>
        <w:t>Introduction</w:t>
      </w:r>
    </w:p>
    <w:p w14:paraId="63CDA361" w14:textId="77777777"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14:paraId="63CDA362" w14:textId="77777777" w:rsidR="00B9644E" w:rsidRPr="00791AB9" w:rsidRDefault="00B9644E" w:rsidP="00B9644E">
      <w:pPr>
        <w:rPr>
          <w:lang w:val="en-GB"/>
        </w:rPr>
      </w:pPr>
    </w:p>
    <w:p w14:paraId="63CDA363" w14:textId="77777777"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14:paraId="63CDA364" w14:textId="77777777" w:rsidR="00B9644E" w:rsidRPr="00791AB9" w:rsidRDefault="00B9644E" w:rsidP="00B9644E">
      <w:pPr>
        <w:rPr>
          <w:lang w:val="en-GB"/>
        </w:rPr>
      </w:pPr>
    </w:p>
    <w:p w14:paraId="63CDA365" w14:textId="77777777"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14:paraId="63CDA366" w14:textId="77777777" w:rsidR="00B9644E" w:rsidRPr="00791AB9" w:rsidRDefault="00B9644E" w:rsidP="00B9644E">
      <w:pPr>
        <w:rPr>
          <w:lang w:val="en-GB"/>
        </w:rPr>
      </w:pPr>
    </w:p>
    <w:p w14:paraId="63CDA367" w14:textId="77777777" w:rsidR="00B9644E" w:rsidRPr="00791AB9" w:rsidRDefault="00B9644E" w:rsidP="00B9644E">
      <w:pPr>
        <w:pStyle w:val="Overskrift1"/>
        <w:rPr>
          <w:lang w:val="en-GB"/>
        </w:rPr>
      </w:pPr>
      <w:r w:rsidRPr="00791AB9">
        <w:rPr>
          <w:lang w:val="en-GB"/>
        </w:rPr>
        <w:t>Definitions</w:t>
      </w:r>
    </w:p>
    <w:p w14:paraId="63CDA368" w14:textId="77777777"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14:paraId="63CDA369" w14:textId="77777777" w:rsidR="00B9644E" w:rsidRPr="00791AB9" w:rsidRDefault="00B9644E" w:rsidP="00B9644E">
      <w:pPr>
        <w:rPr>
          <w:lang w:val="en-GB"/>
        </w:rPr>
      </w:pPr>
    </w:p>
    <w:p w14:paraId="63CDA36A" w14:textId="77777777"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14:paraId="63CDA36B" w14:textId="77777777" w:rsidR="00B9644E" w:rsidRPr="00791AB9" w:rsidRDefault="00B9644E" w:rsidP="00B9644E">
      <w:pPr>
        <w:rPr>
          <w:lang w:val="en-GB"/>
        </w:rPr>
      </w:pPr>
    </w:p>
    <w:p w14:paraId="63CDA36C" w14:textId="77777777"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14:paraId="63CDA36D" w14:textId="77777777" w:rsidR="001C01AA" w:rsidRPr="00791AB9" w:rsidRDefault="001C01AA" w:rsidP="00B9644E">
      <w:pPr>
        <w:rPr>
          <w:lang w:val="en-GB"/>
        </w:rPr>
      </w:pPr>
    </w:p>
    <w:p w14:paraId="63CDA36E" w14:textId="77777777"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14:paraId="63CDA36F" w14:textId="77777777" w:rsidR="00B9644E" w:rsidRPr="00791AB9" w:rsidRDefault="00B9644E" w:rsidP="00B9644E">
      <w:pPr>
        <w:rPr>
          <w:lang w:val="en-GB"/>
        </w:rPr>
      </w:pPr>
    </w:p>
    <w:p w14:paraId="63CDA370" w14:textId="77777777"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14:paraId="63CDA371" w14:textId="77777777" w:rsidR="00B9644E" w:rsidRPr="00791AB9" w:rsidRDefault="00B9644E" w:rsidP="00B9644E">
      <w:pPr>
        <w:rPr>
          <w:lang w:val="en-GB"/>
        </w:rPr>
      </w:pPr>
    </w:p>
    <w:p w14:paraId="63CDA372" w14:textId="77777777"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14:paraId="63CDA373" w14:textId="77777777" w:rsidR="00B9644E" w:rsidRPr="00791AB9" w:rsidRDefault="00B9644E" w:rsidP="00B9644E">
      <w:pPr>
        <w:rPr>
          <w:lang w:val="en-GB"/>
        </w:rPr>
      </w:pPr>
    </w:p>
    <w:p w14:paraId="63CDA374" w14:textId="77777777"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14:paraId="63CDA375" w14:textId="77777777" w:rsidR="00B9644E" w:rsidRPr="00791AB9" w:rsidRDefault="00B9644E" w:rsidP="00B9644E">
      <w:pPr>
        <w:rPr>
          <w:lang w:val="en-GB"/>
        </w:rPr>
      </w:pPr>
    </w:p>
    <w:p w14:paraId="63CDA376" w14:textId="77777777"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14:paraId="63CDA377" w14:textId="77777777" w:rsidR="00B9644E" w:rsidRPr="00791AB9" w:rsidRDefault="00B9644E" w:rsidP="00B9644E">
      <w:pPr>
        <w:rPr>
          <w:lang w:val="en-GB"/>
        </w:rPr>
      </w:pPr>
    </w:p>
    <w:p w14:paraId="63CDA378" w14:textId="77777777" w:rsidR="00B9644E" w:rsidRPr="00791AB9" w:rsidRDefault="00B9644E" w:rsidP="00B9644E">
      <w:pPr>
        <w:rPr>
          <w:lang w:val="en-GB"/>
        </w:rPr>
      </w:pPr>
      <w:r w:rsidRPr="00791AB9">
        <w:rPr>
          <w:lang w:val="en-GB"/>
        </w:rPr>
        <w:lastRenderedPageBreak/>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14:paraId="63CDA379" w14:textId="77777777" w:rsidR="00B9644E" w:rsidRPr="00791AB9" w:rsidRDefault="00B9644E" w:rsidP="00B9644E">
      <w:pPr>
        <w:rPr>
          <w:lang w:val="en-GB"/>
        </w:rPr>
      </w:pPr>
    </w:p>
    <w:p w14:paraId="63CDA37A" w14:textId="77777777"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14:paraId="63CDA37B" w14:textId="77777777" w:rsidR="00B9644E" w:rsidRPr="00791AB9" w:rsidRDefault="00B9644E" w:rsidP="00B9644E">
      <w:pPr>
        <w:rPr>
          <w:lang w:val="en-GB"/>
        </w:rPr>
      </w:pPr>
    </w:p>
    <w:p w14:paraId="63CDA37C" w14:textId="77777777"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14:paraId="63CDA37D" w14:textId="77777777" w:rsidR="00B9644E" w:rsidRPr="00791AB9" w:rsidRDefault="00B9644E" w:rsidP="00B9644E">
      <w:pPr>
        <w:rPr>
          <w:lang w:val="en-GB"/>
        </w:rPr>
      </w:pPr>
      <w:r w:rsidRPr="00791AB9">
        <w:rPr>
          <w:lang w:val="en-GB"/>
        </w:rPr>
        <w:t xml:space="preserve"> </w:t>
      </w:r>
    </w:p>
    <w:p w14:paraId="63CDA37E" w14:textId="77777777"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14:paraId="63CDA37F" w14:textId="77777777" w:rsidR="00B9644E" w:rsidRPr="00791AB9" w:rsidRDefault="00B9644E" w:rsidP="00B9644E">
      <w:pPr>
        <w:rPr>
          <w:lang w:val="en-GB"/>
        </w:rPr>
      </w:pPr>
    </w:p>
    <w:p w14:paraId="63CDA380" w14:textId="77777777"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14:paraId="63CDA381" w14:textId="77777777" w:rsidR="00B9644E" w:rsidRPr="00791AB9" w:rsidRDefault="00B9644E" w:rsidP="00B9644E">
      <w:pPr>
        <w:rPr>
          <w:lang w:val="en-GB"/>
        </w:rPr>
      </w:pPr>
    </w:p>
    <w:p w14:paraId="63CDA382" w14:textId="77777777"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14:paraId="63CDA383" w14:textId="77777777" w:rsidR="00B9644E" w:rsidRPr="00791AB9" w:rsidRDefault="00B9644E" w:rsidP="00B9644E">
      <w:pPr>
        <w:rPr>
          <w:lang w:val="en-GB"/>
        </w:rPr>
      </w:pPr>
    </w:p>
    <w:p w14:paraId="63CDA384" w14:textId="77777777"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14:paraId="63CDA385" w14:textId="77777777" w:rsidR="00B9644E" w:rsidRPr="00791AB9" w:rsidRDefault="00B9644E" w:rsidP="00B9644E">
      <w:pPr>
        <w:rPr>
          <w:lang w:val="en-GB"/>
        </w:rPr>
      </w:pPr>
    </w:p>
    <w:p w14:paraId="63CDA386" w14:textId="77777777"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14:paraId="63CDA387" w14:textId="77777777" w:rsidR="00B9644E" w:rsidRPr="00791AB9" w:rsidRDefault="00B9644E" w:rsidP="00B9644E">
      <w:pPr>
        <w:rPr>
          <w:lang w:val="en-GB"/>
        </w:rPr>
      </w:pPr>
    </w:p>
    <w:p w14:paraId="63CDA388" w14:textId="77777777"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14:paraId="63CDA389" w14:textId="77777777"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14:paraId="63CDA38A" w14:textId="77777777" w:rsidR="00F07BAF" w:rsidRPr="00791AB9" w:rsidRDefault="00F07BAF" w:rsidP="00F07BAF">
      <w:pPr>
        <w:rPr>
          <w:lang w:val="en-GB"/>
        </w:rPr>
      </w:pPr>
    </w:p>
    <w:p w14:paraId="63CDA38B" w14:textId="77777777"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14:paraId="63CDA38C" w14:textId="77777777" w:rsidR="00F07BAF" w:rsidRPr="00791AB9" w:rsidRDefault="00F07BAF" w:rsidP="00F07BAF">
      <w:pPr>
        <w:ind w:left="426" w:hanging="426"/>
        <w:rPr>
          <w:lang w:val="en-GB"/>
        </w:rPr>
      </w:pPr>
      <w:r w:rsidRPr="00791AB9">
        <w:rPr>
          <w:lang w:val="en-GB"/>
        </w:rPr>
        <w:t>(2)</w:t>
      </w:r>
      <w:r w:rsidRPr="00791AB9">
        <w:rPr>
          <w:lang w:val="en-GB"/>
        </w:rPr>
        <w:tab/>
        <w:t>signing the Purchase Order.</w:t>
      </w:r>
    </w:p>
    <w:p w14:paraId="63CDA38D" w14:textId="77777777" w:rsidR="00B9644E" w:rsidRPr="00791AB9" w:rsidRDefault="00B9644E" w:rsidP="00B9644E">
      <w:pPr>
        <w:rPr>
          <w:lang w:val="en-GB"/>
        </w:rPr>
      </w:pPr>
    </w:p>
    <w:p w14:paraId="63CDA38E"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14:paraId="63CDA38F" w14:textId="77777777" w:rsidR="00B9644E" w:rsidRPr="00791AB9" w:rsidRDefault="00B9644E" w:rsidP="00B9644E">
      <w:pPr>
        <w:rPr>
          <w:lang w:val="en-GB"/>
        </w:rPr>
      </w:pPr>
    </w:p>
    <w:p w14:paraId="63CDA390" w14:textId="77777777"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14:paraId="63CDA391" w14:textId="77777777" w:rsidR="00B9644E" w:rsidRPr="00791AB9" w:rsidRDefault="00B9644E" w:rsidP="00B9644E">
      <w:pPr>
        <w:rPr>
          <w:lang w:val="en-GB"/>
        </w:rPr>
      </w:pPr>
    </w:p>
    <w:p w14:paraId="63CDA392" w14:textId="77777777" w:rsidR="00B9644E" w:rsidRPr="00791AB9" w:rsidRDefault="004B7A02" w:rsidP="00B9644E">
      <w:pPr>
        <w:pStyle w:val="Overskrift1"/>
        <w:rPr>
          <w:lang w:val="en-GB"/>
        </w:rPr>
      </w:pPr>
      <w:r w:rsidRPr="00791AB9">
        <w:rPr>
          <w:lang w:val="en-GB"/>
        </w:rPr>
        <w:lastRenderedPageBreak/>
        <w:t xml:space="preserve">The </w:t>
      </w:r>
      <w:r w:rsidR="001C01AA" w:rsidRPr="00791AB9">
        <w:rPr>
          <w:lang w:val="en-GB"/>
        </w:rPr>
        <w:t>Supplier</w:t>
      </w:r>
      <w:r w:rsidR="00B9644E" w:rsidRPr="00791AB9">
        <w:rPr>
          <w:lang w:val="en-GB"/>
        </w:rPr>
        <w:t xml:space="preserve">'s obligations </w:t>
      </w:r>
    </w:p>
    <w:p w14:paraId="63CDA393" w14:textId="77777777" w:rsidR="00B9644E" w:rsidRPr="00791AB9" w:rsidRDefault="00B9644E" w:rsidP="00B9644E">
      <w:pPr>
        <w:pStyle w:val="Overskrift2"/>
        <w:rPr>
          <w:lang w:val="en-GB"/>
        </w:rPr>
      </w:pPr>
      <w:r w:rsidRPr="00791AB9">
        <w:rPr>
          <w:lang w:val="en-GB"/>
        </w:rPr>
        <w:t>Generally</w:t>
      </w:r>
    </w:p>
    <w:p w14:paraId="63CDA39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14:paraId="63CDA395" w14:textId="77777777" w:rsidR="00B9644E" w:rsidRPr="00791AB9" w:rsidRDefault="00B9644E" w:rsidP="00B9644E">
      <w:pPr>
        <w:rPr>
          <w:lang w:val="en-GB"/>
        </w:rPr>
      </w:pPr>
    </w:p>
    <w:p w14:paraId="63CDA396" w14:textId="77777777"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14:paraId="63CDA397" w14:textId="77777777" w:rsidR="00B9644E" w:rsidRPr="00791AB9" w:rsidRDefault="00B9644E" w:rsidP="00B9644E">
      <w:pPr>
        <w:rPr>
          <w:lang w:val="en-GB"/>
        </w:rPr>
      </w:pPr>
    </w:p>
    <w:p w14:paraId="63CDA398" w14:textId="77777777"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14:paraId="63CDA399" w14:textId="77777777" w:rsidR="00D44EC7" w:rsidRPr="00791AB9" w:rsidRDefault="00D44EC7" w:rsidP="00B9644E">
      <w:pPr>
        <w:rPr>
          <w:lang w:val="en-GB"/>
        </w:rPr>
      </w:pPr>
    </w:p>
    <w:p w14:paraId="63CDA39A" w14:textId="77777777"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14:paraId="63CDA39B" w14:textId="77777777" w:rsidR="00B9644E" w:rsidRPr="00791AB9" w:rsidRDefault="00B9644E" w:rsidP="00B9644E">
      <w:pPr>
        <w:rPr>
          <w:lang w:val="en-GB"/>
        </w:rPr>
      </w:pPr>
    </w:p>
    <w:p w14:paraId="63CDA39C" w14:textId="77777777" w:rsidR="00B9644E" w:rsidRPr="00791AB9" w:rsidRDefault="00B9644E" w:rsidP="00B9644E">
      <w:pPr>
        <w:rPr>
          <w:lang w:val="en-GB"/>
        </w:rPr>
      </w:pPr>
      <w:r w:rsidRPr="00791AB9">
        <w:rPr>
          <w:lang w:val="en-GB"/>
        </w:rPr>
        <w:t>The Deliverables shall furthermore be in compliance with all applicable regulations and standards, including</w:t>
      </w:r>
    </w:p>
    <w:p w14:paraId="63CDA39D" w14:textId="77777777"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14:paraId="63CDA39E" w14:textId="77777777"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14:paraId="63CDA39F" w14:textId="77777777" w:rsidR="00C10C1D" w:rsidRPr="00791AB9" w:rsidRDefault="00C10C1D" w:rsidP="00C10C1D">
      <w:r w:rsidRPr="00791AB9">
        <w:t xml:space="preserve">If requested by the Buyer, the Supplier shall document that all Deliverables comply in full with all requirements in applicable law and regulations. </w:t>
      </w:r>
    </w:p>
    <w:p w14:paraId="63CDA3A0" w14:textId="77777777" w:rsidR="00C10C1D" w:rsidRPr="00791AB9" w:rsidRDefault="00C10C1D" w:rsidP="00C10C1D"/>
    <w:p w14:paraId="63CDA3A1" w14:textId="77777777"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14:paraId="63CDA3A2" w14:textId="77777777" w:rsidR="003854C7" w:rsidRDefault="00C10C1D" w:rsidP="006566C2">
      <w:pPr>
        <w:rPr>
          <w:lang w:val="en-GB"/>
        </w:rPr>
      </w:pPr>
      <w:r w:rsidRPr="00791AB9">
        <w:t xml:space="preserve"> </w:t>
      </w:r>
      <w:r w:rsidR="007F469C" w:rsidRPr="00791AB9">
        <w:rPr>
          <w:lang w:val="en-GB"/>
        </w:rPr>
        <w:t xml:space="preserve"> </w:t>
      </w:r>
    </w:p>
    <w:p w14:paraId="63CDA3A3" w14:textId="77777777"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14:paraId="63CDA3A4" w14:textId="77777777" w:rsidR="006566C2" w:rsidRPr="00791AB9" w:rsidRDefault="006566C2" w:rsidP="006566C2"/>
    <w:p w14:paraId="63CDA3A5" w14:textId="77777777"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14:paraId="63CDA3A6" w14:textId="77777777" w:rsidR="006566C2" w:rsidRPr="00791AB9" w:rsidRDefault="006566C2" w:rsidP="00B9644E"/>
    <w:p w14:paraId="63CDA3A7" w14:textId="77777777" w:rsidR="00992B0B" w:rsidRPr="00791AB9" w:rsidRDefault="00992B0B" w:rsidP="00992B0B">
      <w:r w:rsidRPr="00791AB9">
        <w:t xml:space="preserve">All such documentation shall be submitted to the Buyer to </w:t>
      </w:r>
      <w:hyperlink r:id="rId18"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14:paraId="63CDA3A8" w14:textId="77777777" w:rsidR="00992B0B" w:rsidRPr="00791AB9" w:rsidRDefault="00992B0B" w:rsidP="00B9644E"/>
    <w:p w14:paraId="63CDA3A9" w14:textId="77777777"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14:paraId="63CDA3AA" w14:textId="77777777" w:rsidR="00992B0B" w:rsidRPr="00791AB9" w:rsidRDefault="00992B0B" w:rsidP="00B9644E"/>
    <w:p w14:paraId="63CDA3AB" w14:textId="77777777" w:rsidR="00335FB5" w:rsidRPr="00791AB9" w:rsidRDefault="00335FB5" w:rsidP="00335FB5">
      <w:r w:rsidRPr="00791AB9">
        <w:lastRenderedPageBreak/>
        <w:t>The language of the documentation shall be in English (Simplified Technical English is preferred) unless Danish or otherwise is agreed upon by the Parties.</w:t>
      </w:r>
    </w:p>
    <w:p w14:paraId="63CDA3AC" w14:textId="77777777" w:rsidR="00335FB5" w:rsidRPr="00791AB9" w:rsidRDefault="00335FB5" w:rsidP="00B9644E"/>
    <w:p w14:paraId="63CDA3AD" w14:textId="77777777" w:rsidR="00335FB5" w:rsidRPr="00791AB9" w:rsidRDefault="00335FB5" w:rsidP="00B9644E">
      <w:r w:rsidRPr="00791AB9">
        <w:t>The Buyer shall be entitled to copy instructions, manuals and certificates etc. for internal use. Copying can be done by a third party.</w:t>
      </w:r>
    </w:p>
    <w:p w14:paraId="63CDA3AE" w14:textId="77777777" w:rsidR="00B9644E" w:rsidRPr="00791AB9" w:rsidRDefault="00B9644E" w:rsidP="00B9644E">
      <w:pPr>
        <w:pStyle w:val="Overskrift2"/>
        <w:rPr>
          <w:lang w:val="en-GB"/>
        </w:rPr>
      </w:pPr>
      <w:r w:rsidRPr="00791AB9">
        <w:rPr>
          <w:lang w:val="en-GB"/>
        </w:rPr>
        <w:t xml:space="preserve">Inspections </w:t>
      </w:r>
    </w:p>
    <w:p w14:paraId="63CDA3AF" w14:textId="77777777"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14:paraId="63CDA3B0" w14:textId="77777777" w:rsidR="00B9644E" w:rsidRPr="00791AB9" w:rsidRDefault="00B9644E" w:rsidP="00B9644E">
      <w:pPr>
        <w:rPr>
          <w:lang w:val="en-GB"/>
        </w:rPr>
      </w:pPr>
    </w:p>
    <w:p w14:paraId="63CDA3B1" w14:textId="77777777"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14:paraId="63CDA3B2" w14:textId="77777777" w:rsidR="00B9644E" w:rsidRPr="00791AB9" w:rsidRDefault="00B9644E" w:rsidP="00B9644E">
      <w:pPr>
        <w:pStyle w:val="Overskrift2"/>
        <w:rPr>
          <w:lang w:val="en-GB"/>
        </w:rPr>
      </w:pPr>
      <w:r w:rsidRPr="00791AB9">
        <w:rPr>
          <w:lang w:val="en-GB"/>
        </w:rPr>
        <w:t>Spare parts</w:t>
      </w:r>
    </w:p>
    <w:p w14:paraId="63CDA3B3" w14:textId="77777777"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14:paraId="63CDA3B4" w14:textId="77777777"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14:paraId="63CDA3B5" w14:textId="77777777" w:rsidR="006741C9" w:rsidRDefault="006741C9" w:rsidP="006741C9">
      <w:pPr>
        <w:rPr>
          <w:lang w:val="en-GB"/>
        </w:rPr>
      </w:pPr>
      <w:r w:rsidRPr="00791AB9">
        <w:rPr>
          <w:lang w:val="en-GB"/>
        </w:rPr>
        <w:t>The Warranty shall be valid in the Defects Liability Period.</w:t>
      </w:r>
    </w:p>
    <w:p w14:paraId="63CDA3B6" w14:textId="77777777" w:rsidR="00CF5CB6" w:rsidRDefault="00CF5CB6" w:rsidP="006741C9">
      <w:pPr>
        <w:rPr>
          <w:lang w:val="en-GB"/>
        </w:rPr>
      </w:pPr>
    </w:p>
    <w:p w14:paraId="63CDA3B7" w14:textId="77777777"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14:paraId="63CDA3B8" w14:textId="77777777" w:rsidR="00071F54" w:rsidRDefault="00071F54" w:rsidP="00E5128D">
      <w:pPr>
        <w:tabs>
          <w:tab w:val="left" w:pos="0"/>
        </w:tabs>
        <w:rPr>
          <w:lang w:val="en-GB"/>
        </w:rPr>
      </w:pPr>
    </w:p>
    <w:p w14:paraId="63CDA3B9" w14:textId="77777777"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14:paraId="63CDA3BA" w14:textId="77777777" w:rsidR="00071F54" w:rsidRDefault="00071F54" w:rsidP="00E5128D">
      <w:pPr>
        <w:tabs>
          <w:tab w:val="left" w:pos="0"/>
        </w:tabs>
        <w:rPr>
          <w:lang w:val="en-GB"/>
        </w:rPr>
      </w:pPr>
    </w:p>
    <w:p w14:paraId="63CDA3BB" w14:textId="77777777"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14:paraId="63CDA3BC" w14:textId="77777777" w:rsidR="00B9644E" w:rsidRPr="00791AB9" w:rsidRDefault="00B9644E" w:rsidP="00B9644E">
      <w:pPr>
        <w:rPr>
          <w:lang w:val="en-GB"/>
        </w:rPr>
      </w:pPr>
    </w:p>
    <w:p w14:paraId="63CDA3BD" w14:textId="77777777"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14:paraId="63CDA3BE" w14:textId="77777777" w:rsidR="00B9644E" w:rsidRPr="00791AB9" w:rsidRDefault="00B9644E" w:rsidP="00B9644E">
      <w:pPr>
        <w:rPr>
          <w:lang w:val="en-GB"/>
        </w:rPr>
      </w:pPr>
    </w:p>
    <w:p w14:paraId="63CDA3BF" w14:textId="77777777"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14:paraId="63CDA3C0" w14:textId="77777777" w:rsidR="00B9644E" w:rsidRPr="00791AB9" w:rsidRDefault="00B9644E" w:rsidP="00B9644E">
      <w:pPr>
        <w:rPr>
          <w:lang w:val="en-GB"/>
        </w:rPr>
      </w:pPr>
    </w:p>
    <w:p w14:paraId="63CDA3C1" w14:textId="77777777"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w:t>
      </w:r>
      <w:r w:rsidRPr="00791AB9">
        <w:rPr>
          <w:lang w:val="en-GB"/>
        </w:rPr>
        <w:lastRenderedPageBreak/>
        <w:t>normal procedure, documentation or instructions, normal wear and tear, or risks that lie with the Buyer.</w:t>
      </w:r>
    </w:p>
    <w:p w14:paraId="63CDA3C2" w14:textId="77777777"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14:paraId="63CDA3C3" w14:textId="77777777"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14:paraId="63CDA3C4" w14:textId="77777777" w:rsidR="0050505C" w:rsidRDefault="0050505C" w:rsidP="00FE6478"/>
    <w:p w14:paraId="63CDA3C5" w14:textId="77777777"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14:paraId="63CDA3C6" w14:textId="77777777" w:rsidR="00FE6478" w:rsidRPr="00791AB9" w:rsidRDefault="00FE6478" w:rsidP="00FE6478"/>
    <w:p w14:paraId="63CDA3C7" w14:textId="77777777"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14:paraId="63CDA3C8" w14:textId="77777777"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14:paraId="63CDA3C9" w14:textId="77777777" w:rsidR="0099781A" w:rsidRDefault="0099781A" w:rsidP="0099781A"/>
    <w:p w14:paraId="63CDA3CA" w14:textId="77777777"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14:paraId="63CDA3CB" w14:textId="77777777" w:rsidR="0099781A" w:rsidRDefault="0099781A" w:rsidP="0099781A"/>
    <w:p w14:paraId="63CDA3CC" w14:textId="77777777"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14:paraId="63CDA3CD" w14:textId="77777777" w:rsidR="0099781A" w:rsidRDefault="0099781A" w:rsidP="0099781A">
      <w:pPr>
        <w:rPr>
          <w:rFonts w:cs="Tahoma"/>
        </w:rPr>
      </w:pPr>
    </w:p>
    <w:p w14:paraId="63CDA3CE" w14:textId="77777777"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14:paraId="63CDA3CF" w14:textId="77777777" w:rsidR="001E1F6C" w:rsidRDefault="001E1F6C" w:rsidP="0099781A">
      <w:pPr>
        <w:rPr>
          <w:rFonts w:cs="Tahoma"/>
        </w:rPr>
      </w:pPr>
    </w:p>
    <w:p w14:paraId="63CDA3D0" w14:textId="77777777"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14:paraId="63CDA3D1" w14:textId="77777777" w:rsidR="0099781A" w:rsidRDefault="0099781A" w:rsidP="0099781A">
      <w:pPr>
        <w:rPr>
          <w:rFonts w:cs="Tahoma"/>
        </w:rPr>
      </w:pPr>
    </w:p>
    <w:p w14:paraId="63CDA3D2" w14:textId="77777777"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14:paraId="63CDA3D3" w14:textId="77777777" w:rsidR="0099781A" w:rsidRDefault="0099781A" w:rsidP="0099781A">
      <w:pPr>
        <w:rPr>
          <w:rFonts w:cs="Tahoma"/>
        </w:rPr>
      </w:pPr>
    </w:p>
    <w:p w14:paraId="63CDA3D4" w14:textId="77777777"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14:paraId="63CDA3D5" w14:textId="77777777" w:rsidR="0099781A" w:rsidRDefault="0099781A" w:rsidP="0099781A">
      <w:pPr>
        <w:rPr>
          <w:rFonts w:cs="Tahoma"/>
        </w:rPr>
      </w:pPr>
    </w:p>
    <w:p w14:paraId="63CDA3D6" w14:textId="77777777" w:rsidR="0099781A" w:rsidRDefault="0099781A" w:rsidP="0099781A">
      <w:pPr>
        <w:rPr>
          <w:rFonts w:cs="Tahoma"/>
        </w:rPr>
      </w:pPr>
      <w:r w:rsidRPr="00C554B9">
        <w:rPr>
          <w:rFonts w:cs="Tahoma"/>
        </w:rPr>
        <w:lastRenderedPageBreak/>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14:paraId="63CDA3D7" w14:textId="77777777" w:rsidR="0099781A" w:rsidRDefault="0099781A" w:rsidP="0099781A">
      <w:pPr>
        <w:rPr>
          <w:rFonts w:cs="Tahoma"/>
        </w:rPr>
      </w:pPr>
    </w:p>
    <w:p w14:paraId="63CDA3D8" w14:textId="77777777"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14:paraId="63CDA3D9" w14:textId="77777777" w:rsidR="00CE2622" w:rsidRDefault="00CE2622" w:rsidP="0099781A">
      <w:pPr>
        <w:rPr>
          <w:rFonts w:cs="Tahoma"/>
        </w:rPr>
      </w:pPr>
    </w:p>
    <w:p w14:paraId="63CDA3DA" w14:textId="77777777"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14:paraId="63CDA3DB" w14:textId="77777777" w:rsidR="00DD25AF" w:rsidRDefault="00DD25AF" w:rsidP="0099781A">
      <w:pPr>
        <w:rPr>
          <w:rFonts w:cs="Tahoma"/>
        </w:rPr>
      </w:pPr>
    </w:p>
    <w:p w14:paraId="63CDA3DC" w14:textId="77777777"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14:paraId="63CDA3DD" w14:textId="77777777"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14:paraId="63CDA3DE" w14:textId="77777777" w:rsidR="00DD25AF" w:rsidRPr="006C519C" w:rsidRDefault="00DD25AF" w:rsidP="00DD25AF">
      <w:pPr>
        <w:rPr>
          <w:u w:val="single"/>
        </w:rPr>
      </w:pPr>
    </w:p>
    <w:p w14:paraId="63CDA3DF" w14:textId="77777777"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14:paraId="63CDA3E0" w14:textId="77777777" w:rsidR="00DD25AF" w:rsidRDefault="00DD25AF" w:rsidP="00DD25AF">
      <w:pPr>
        <w:rPr>
          <w:rFonts w:cs="Tahoma"/>
        </w:rPr>
      </w:pPr>
    </w:p>
    <w:p w14:paraId="63CDA3E1" w14:textId="77777777"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14:paraId="63CDA3E2" w14:textId="77777777" w:rsidR="00DD25AF" w:rsidRDefault="00DD25AF" w:rsidP="00DD25AF"/>
    <w:p w14:paraId="63CDA3E3" w14:textId="77777777"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14:paraId="63CDA3E4" w14:textId="77777777" w:rsidR="00DD25AF" w:rsidRDefault="00DD25AF" w:rsidP="00DD25AF">
      <w:pPr>
        <w:rPr>
          <w:rFonts w:cs="Tahoma"/>
        </w:rPr>
      </w:pPr>
    </w:p>
    <w:p w14:paraId="63CDA3E5" w14:textId="77777777"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14:paraId="63CDA3E6" w14:textId="77777777" w:rsidR="00DD25AF" w:rsidRPr="00EB767B" w:rsidRDefault="00DD25AF" w:rsidP="00DD25AF"/>
    <w:p w14:paraId="63CDA3E7" w14:textId="77777777"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w:t>
      </w:r>
      <w:r w:rsidRPr="00EB767B">
        <w:rPr>
          <w:rFonts w:cs="Tahoma"/>
        </w:rPr>
        <w:lastRenderedPageBreak/>
        <w:t xml:space="preserve">time sheets, payroll accounts and employment contracts </w:t>
      </w:r>
      <w:r>
        <w:rPr>
          <w:rFonts w:cs="Tahoma"/>
        </w:rPr>
        <w:t>establishing the basis for the conditions of work and calculation the payments</w:t>
      </w:r>
      <w:r w:rsidRPr="00EB767B">
        <w:rPr>
          <w:rFonts w:cs="Tahoma"/>
          <w:szCs w:val="18"/>
        </w:rPr>
        <w:t xml:space="preserve">. </w:t>
      </w:r>
    </w:p>
    <w:p w14:paraId="63CDA3E8" w14:textId="77777777" w:rsidR="00DD25AF" w:rsidRDefault="00DD25AF" w:rsidP="00DD25AF">
      <w:pPr>
        <w:rPr>
          <w:rFonts w:cs="Tahoma"/>
          <w:szCs w:val="18"/>
        </w:rPr>
      </w:pPr>
    </w:p>
    <w:p w14:paraId="63CDA3E9" w14:textId="77777777"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14:paraId="63CDA3EA" w14:textId="77777777" w:rsidR="00DD25AF" w:rsidRDefault="00DD25AF" w:rsidP="00DD25AF">
      <w:pPr>
        <w:rPr>
          <w:rFonts w:cs="Tahoma"/>
          <w:szCs w:val="18"/>
        </w:rPr>
      </w:pPr>
    </w:p>
    <w:p w14:paraId="63CDA3EB" w14:textId="77777777"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14:paraId="63CDA3EC" w14:textId="77777777" w:rsidR="00DD25AF" w:rsidRPr="00EB767B" w:rsidRDefault="00DD25AF" w:rsidP="00DD25AF"/>
    <w:p w14:paraId="63CDA3ED" w14:textId="77777777"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14:paraId="63CDA3EE" w14:textId="77777777" w:rsidR="00DD25AF" w:rsidRPr="00EB767B" w:rsidRDefault="00DD25AF" w:rsidP="00DD25AF"/>
    <w:p w14:paraId="63CDA3EF" w14:textId="77777777"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14:paraId="63CDA3F0" w14:textId="77777777"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14:paraId="63CDA3F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14:paraId="63CDA3F2" w14:textId="77777777" w:rsidR="00B9644E" w:rsidRPr="00791AB9" w:rsidRDefault="00B9644E" w:rsidP="00B9644E">
      <w:pPr>
        <w:rPr>
          <w:lang w:val="en-GB"/>
        </w:rPr>
      </w:pPr>
    </w:p>
    <w:p w14:paraId="63CDA3F3" w14:textId="77777777"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14:paraId="63CDA3F4" w14:textId="77777777" w:rsidR="00D44EC7" w:rsidRPr="00791AB9" w:rsidRDefault="00D44EC7" w:rsidP="00B9644E">
      <w:pPr>
        <w:rPr>
          <w:lang w:val="en-GB"/>
        </w:rPr>
      </w:pPr>
    </w:p>
    <w:p w14:paraId="63CDA3F5"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14:paraId="63CDA3F6" w14:textId="77777777" w:rsidR="00B9644E" w:rsidRPr="00791AB9" w:rsidRDefault="00B9644E" w:rsidP="00B9644E">
      <w:pPr>
        <w:rPr>
          <w:lang w:val="en-GB"/>
        </w:rPr>
      </w:pPr>
    </w:p>
    <w:p w14:paraId="63CDA3F7" w14:textId="77777777"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14:paraId="63CDA3F8" w14:textId="77777777" w:rsidR="00D44EC7" w:rsidRPr="00791AB9" w:rsidRDefault="00D44EC7" w:rsidP="00B9644E">
      <w:pPr>
        <w:rPr>
          <w:lang w:val="en-GB"/>
        </w:rPr>
      </w:pPr>
    </w:p>
    <w:p w14:paraId="63CDA3F9"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14:paraId="63CDA3FA" w14:textId="77777777" w:rsidR="00B9644E" w:rsidRPr="00791AB9" w:rsidRDefault="00B9644E" w:rsidP="00B9644E">
      <w:pPr>
        <w:rPr>
          <w:lang w:val="en-GB"/>
        </w:rPr>
      </w:pPr>
    </w:p>
    <w:p w14:paraId="63CDA3FB" w14:textId="77777777"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r w:rsidR="00144F70">
        <w:fldChar w:fldCharType="begin"/>
      </w:r>
      <w:r w:rsidR="00144F70">
        <w:instrText xml:space="preserve"> REF _Ref339378399 \r \h  \* MERGEFORMAT </w:instrText>
      </w:r>
      <w:r w:rsidR="00144F70">
        <w:fldChar w:fldCharType="separate"/>
      </w:r>
      <w:r w:rsidR="000F24F7" w:rsidRPr="000F24F7">
        <w:rPr>
          <w:lang w:val="en-GB"/>
        </w:rPr>
        <w:t>11.1</w:t>
      </w:r>
      <w:r w:rsidR="00144F70">
        <w:fldChar w:fldCharType="end"/>
      </w:r>
      <w:r w:rsidRPr="00791AB9">
        <w:rPr>
          <w:lang w:val="en-GB"/>
        </w:rPr>
        <w:t xml:space="preserve">. </w:t>
      </w:r>
    </w:p>
    <w:p w14:paraId="63CDA3FC" w14:textId="77777777" w:rsidR="00D44EC7" w:rsidRPr="00791AB9" w:rsidRDefault="00D44EC7" w:rsidP="00B9644E">
      <w:pPr>
        <w:rPr>
          <w:lang w:val="en-GB"/>
        </w:rPr>
      </w:pPr>
    </w:p>
    <w:p w14:paraId="63CDA3FD" w14:textId="77777777"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14:paraId="63CDA3FE" w14:textId="77777777" w:rsidR="00B9644E" w:rsidRPr="00791AB9" w:rsidRDefault="00B9644E" w:rsidP="00B9644E">
      <w:pPr>
        <w:rPr>
          <w:lang w:val="en-GB"/>
        </w:rPr>
      </w:pPr>
    </w:p>
    <w:p w14:paraId="63CDA3FF" w14:textId="77777777" w:rsidR="00B9644E" w:rsidRPr="00791AB9" w:rsidRDefault="00B9644E" w:rsidP="00B9644E">
      <w:pPr>
        <w:pStyle w:val="Overskrift1"/>
        <w:rPr>
          <w:lang w:val="en-GB"/>
        </w:rPr>
      </w:pPr>
      <w:bookmarkStart w:id="7" w:name="_Ref469415600"/>
      <w:r w:rsidRPr="00791AB9">
        <w:rPr>
          <w:lang w:val="en-GB"/>
        </w:rPr>
        <w:t>Terms of delivery</w:t>
      </w:r>
      <w:bookmarkEnd w:id="7"/>
    </w:p>
    <w:p w14:paraId="63CDA400" w14:textId="77777777" w:rsidR="00B9644E" w:rsidRPr="00791AB9" w:rsidRDefault="00B9644E" w:rsidP="00B9644E">
      <w:pPr>
        <w:rPr>
          <w:lang w:val="en-GB"/>
        </w:rPr>
      </w:pPr>
      <w:r w:rsidRPr="00791AB9">
        <w:rPr>
          <w:lang w:val="en-GB"/>
        </w:rPr>
        <w:t xml:space="preserve">The terms of delivery shall be: </w:t>
      </w:r>
    </w:p>
    <w:p w14:paraId="63CDA401" w14:textId="77777777" w:rsidR="00B9644E" w:rsidRPr="00791AB9" w:rsidRDefault="00B9644E" w:rsidP="00B9644E">
      <w:pPr>
        <w:rPr>
          <w:lang w:val="en-GB"/>
        </w:rPr>
      </w:pPr>
    </w:p>
    <w:p w14:paraId="63CDA402" w14:textId="77777777"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14:paraId="63CDA403" w14:textId="77777777" w:rsidR="006B6F0C" w:rsidRPr="00791AB9" w:rsidRDefault="006B6F0C" w:rsidP="00B9644E">
      <w:pPr>
        <w:rPr>
          <w:lang w:val="en-GB"/>
        </w:rPr>
      </w:pPr>
    </w:p>
    <w:p w14:paraId="63CDA404" w14:textId="77777777"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14:paraId="63CDA405" w14:textId="77777777" w:rsidR="003C2EBE" w:rsidRPr="00791AB9" w:rsidRDefault="003C2EBE" w:rsidP="00B9644E">
      <w:pPr>
        <w:rPr>
          <w:lang w:val="en-GB"/>
        </w:rPr>
      </w:pPr>
    </w:p>
    <w:p w14:paraId="63CDA406" w14:textId="77777777" w:rsidR="00B9644E" w:rsidRPr="00791AB9" w:rsidRDefault="00B9644E" w:rsidP="00B9644E">
      <w:pPr>
        <w:pStyle w:val="Overskrift1"/>
        <w:rPr>
          <w:lang w:val="en-GB"/>
        </w:rPr>
      </w:pPr>
      <w:r w:rsidRPr="00791AB9">
        <w:rPr>
          <w:lang w:val="en-GB"/>
        </w:rPr>
        <w:t>Packaging and Delivery Note</w:t>
      </w:r>
    </w:p>
    <w:p w14:paraId="63CDA407" w14:textId="77777777" w:rsidR="00B9644E" w:rsidRPr="00791AB9" w:rsidRDefault="00B9644E" w:rsidP="00B9644E">
      <w:pPr>
        <w:pStyle w:val="Overskrift2"/>
        <w:rPr>
          <w:lang w:val="en-GB"/>
        </w:rPr>
      </w:pPr>
      <w:r w:rsidRPr="00791AB9">
        <w:rPr>
          <w:lang w:val="en-GB"/>
        </w:rPr>
        <w:t>Packaging</w:t>
      </w:r>
    </w:p>
    <w:p w14:paraId="63CDA408"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14:paraId="63CDA409" w14:textId="77777777" w:rsidR="00D44EC7" w:rsidRPr="00791AB9" w:rsidRDefault="00D44EC7" w:rsidP="001134F7">
      <w:pPr>
        <w:rPr>
          <w:lang w:val="en-GB"/>
        </w:rPr>
      </w:pPr>
    </w:p>
    <w:p w14:paraId="63CDA40A" w14:textId="77777777"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14:paraId="63CDA40B" w14:textId="77777777" w:rsidR="001134F7" w:rsidRPr="00791AB9" w:rsidRDefault="001134F7" w:rsidP="001134F7">
      <w:pPr>
        <w:rPr>
          <w:lang w:val="en-GB"/>
        </w:rPr>
      </w:pPr>
    </w:p>
    <w:p w14:paraId="63CDA40C" w14:textId="77777777"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14:paraId="63CDA40D" w14:textId="77777777" w:rsidR="00B9644E" w:rsidRPr="00791AB9" w:rsidRDefault="00B9644E" w:rsidP="00B9644E">
      <w:pPr>
        <w:rPr>
          <w:lang w:val="en-GB"/>
        </w:rPr>
      </w:pPr>
    </w:p>
    <w:p w14:paraId="63CDA40E" w14:textId="77777777"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14:paraId="63CDA40F" w14:textId="77777777" w:rsidR="00B9644E" w:rsidRPr="00791AB9" w:rsidRDefault="00B9644E" w:rsidP="00B9644E">
      <w:pPr>
        <w:rPr>
          <w:lang w:val="en-GB"/>
        </w:rPr>
      </w:pPr>
    </w:p>
    <w:p w14:paraId="63CDA410" w14:textId="77777777"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w:t>
      </w:r>
      <w:r w:rsidRPr="00791AB9">
        <w:rPr>
          <w:lang w:val="en-GB"/>
        </w:rPr>
        <w:lastRenderedPageBreak/>
        <w:t>(UCC/EAN 128) and also be repeated under the bar code in alpha-numerical text:</w:t>
      </w:r>
    </w:p>
    <w:p w14:paraId="63CDA411" w14:textId="77777777" w:rsidR="00B9644E" w:rsidRPr="00791AB9" w:rsidRDefault="00B9644E" w:rsidP="00B9644E">
      <w:pPr>
        <w:rPr>
          <w:lang w:val="en-GB"/>
        </w:rPr>
      </w:pPr>
    </w:p>
    <w:p w14:paraId="63CDA412" w14:textId="77777777" w:rsidR="00B9644E" w:rsidRPr="00791AB9" w:rsidRDefault="00B9644E" w:rsidP="00B9644E">
      <w:pPr>
        <w:pStyle w:val="Listeafsnit"/>
        <w:numPr>
          <w:ilvl w:val="0"/>
          <w:numId w:val="2"/>
        </w:numPr>
        <w:rPr>
          <w:lang w:val="en-GB"/>
        </w:rPr>
      </w:pPr>
      <w:r w:rsidRPr="00791AB9">
        <w:rPr>
          <w:lang w:val="en-GB"/>
        </w:rPr>
        <w:t>Customer Purchase Order Number (AI: 400)</w:t>
      </w:r>
    </w:p>
    <w:p w14:paraId="63CDA413" w14:textId="77777777" w:rsidR="00B9644E" w:rsidRPr="00791AB9" w:rsidRDefault="00B9644E" w:rsidP="00B9644E">
      <w:pPr>
        <w:pStyle w:val="Listeafsnit"/>
        <w:numPr>
          <w:ilvl w:val="0"/>
          <w:numId w:val="2"/>
        </w:numPr>
        <w:rPr>
          <w:lang w:val="en-GB"/>
        </w:rPr>
      </w:pPr>
      <w:r w:rsidRPr="00791AB9">
        <w:rPr>
          <w:lang w:val="en-GB"/>
        </w:rPr>
        <w:t>Nato Stock Number (AI: 7001)</w:t>
      </w:r>
    </w:p>
    <w:p w14:paraId="63CDA414" w14:textId="77777777" w:rsidR="00B9644E" w:rsidRPr="00791AB9" w:rsidRDefault="00B9644E" w:rsidP="00B9644E">
      <w:pPr>
        <w:pStyle w:val="Listeafsnit"/>
        <w:numPr>
          <w:ilvl w:val="0"/>
          <w:numId w:val="2"/>
        </w:numPr>
        <w:rPr>
          <w:lang w:val="en-GB"/>
        </w:rPr>
      </w:pPr>
      <w:r w:rsidRPr="00791AB9">
        <w:rPr>
          <w:lang w:val="en-GB"/>
        </w:rPr>
        <w:t>Supplier Part Number (AI:01/02)</w:t>
      </w:r>
    </w:p>
    <w:p w14:paraId="63CDA415" w14:textId="77777777" w:rsidR="00B9644E" w:rsidRPr="00791AB9" w:rsidRDefault="00B9644E" w:rsidP="00B9644E">
      <w:pPr>
        <w:pStyle w:val="Listeafsnit"/>
        <w:numPr>
          <w:ilvl w:val="0"/>
          <w:numId w:val="2"/>
        </w:numPr>
        <w:rPr>
          <w:lang w:val="en-GB"/>
        </w:rPr>
      </w:pPr>
      <w:r w:rsidRPr="00791AB9">
        <w:rPr>
          <w:lang w:val="en-GB"/>
        </w:rPr>
        <w:t>Batch/LOT Number (if relevant) (AI: 21)</w:t>
      </w:r>
    </w:p>
    <w:p w14:paraId="63CDA416" w14:textId="77777777" w:rsidR="00B9644E" w:rsidRPr="00791AB9" w:rsidRDefault="00B9644E" w:rsidP="00B9644E">
      <w:pPr>
        <w:pStyle w:val="Listeafsnit"/>
        <w:numPr>
          <w:ilvl w:val="0"/>
          <w:numId w:val="2"/>
        </w:numPr>
        <w:rPr>
          <w:lang w:val="en-GB"/>
        </w:rPr>
      </w:pPr>
      <w:r w:rsidRPr="00791AB9">
        <w:rPr>
          <w:lang w:val="en-GB"/>
        </w:rPr>
        <w:t xml:space="preserve">Serial Number (if relevant) (AI:10) </w:t>
      </w:r>
    </w:p>
    <w:p w14:paraId="63CDA417" w14:textId="77777777" w:rsidR="00B9644E" w:rsidRPr="00791AB9" w:rsidRDefault="00B9644E" w:rsidP="00B9644E">
      <w:pPr>
        <w:rPr>
          <w:lang w:val="en-GB"/>
        </w:rPr>
      </w:pPr>
    </w:p>
    <w:p w14:paraId="63CDA418" w14:textId="77777777"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14:paraId="63CDA419" w14:textId="77777777" w:rsidR="00B9644E" w:rsidRPr="00791AB9" w:rsidRDefault="00B9644E" w:rsidP="00B9644E">
      <w:pPr>
        <w:rPr>
          <w:lang w:val="en-GB"/>
        </w:rPr>
      </w:pPr>
    </w:p>
    <w:p w14:paraId="63CDA41A" w14:textId="77777777" w:rsidR="00B9644E" w:rsidRPr="00791AB9" w:rsidRDefault="00B9644E" w:rsidP="00B9644E">
      <w:pPr>
        <w:rPr>
          <w:lang w:val="en-GB"/>
        </w:rPr>
      </w:pPr>
      <w:r w:rsidRPr="00791AB9">
        <w:rPr>
          <w:lang w:val="en-GB"/>
        </w:rPr>
        <w:t>Each bar code shall have a minimum height of 6 mm. and lines with a thickness of 3 points.</w:t>
      </w:r>
    </w:p>
    <w:p w14:paraId="63CDA41B" w14:textId="77777777" w:rsidR="00B9644E" w:rsidRPr="00791AB9" w:rsidRDefault="00B9644E" w:rsidP="00B9644E">
      <w:pPr>
        <w:rPr>
          <w:lang w:val="en-GB"/>
        </w:rPr>
      </w:pPr>
    </w:p>
    <w:p w14:paraId="63CDA41C" w14:textId="77777777"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14:paraId="63CDA41D" w14:textId="77777777" w:rsidR="00B9644E" w:rsidRPr="00791AB9" w:rsidRDefault="00B9644E" w:rsidP="00B9644E">
      <w:pPr>
        <w:rPr>
          <w:lang w:val="en-GB"/>
        </w:rPr>
      </w:pPr>
    </w:p>
    <w:p w14:paraId="63CDA41E" w14:textId="77777777"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14:paraId="63CDA41F" w14:textId="77777777" w:rsidR="00A35090" w:rsidRPr="00791AB9" w:rsidRDefault="00A35090" w:rsidP="00B9644E">
      <w:pPr>
        <w:rPr>
          <w:lang w:val="en-GB"/>
        </w:rPr>
      </w:pPr>
    </w:p>
    <w:p w14:paraId="63CDA420" w14:textId="77777777" w:rsidR="00B9644E" w:rsidRPr="00791AB9" w:rsidRDefault="00B9644E" w:rsidP="00B9644E">
      <w:pPr>
        <w:pStyle w:val="Overskrift2"/>
        <w:rPr>
          <w:lang w:val="en-GB"/>
        </w:rPr>
      </w:pPr>
      <w:r w:rsidRPr="00791AB9">
        <w:rPr>
          <w:lang w:val="en-GB"/>
        </w:rPr>
        <w:t>Delivery Note</w:t>
      </w:r>
    </w:p>
    <w:p w14:paraId="63CDA421" w14:textId="77777777"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14:paraId="63CDA422" w14:textId="77777777" w:rsidR="00B9644E" w:rsidRPr="00791AB9" w:rsidRDefault="00B9644E" w:rsidP="00B9644E">
      <w:pPr>
        <w:rPr>
          <w:lang w:val="en-GB"/>
        </w:rPr>
      </w:pPr>
    </w:p>
    <w:p w14:paraId="63CDA423" w14:textId="77777777" w:rsidR="008432DD" w:rsidRPr="00791AB9" w:rsidRDefault="00B9644E" w:rsidP="00B9644E">
      <w:pPr>
        <w:rPr>
          <w:lang w:val="en-GB"/>
        </w:rPr>
      </w:pPr>
      <w:r w:rsidRPr="00791AB9">
        <w:rPr>
          <w:lang w:val="en-GB"/>
        </w:rPr>
        <w:t xml:space="preserve">(i) Purchase Order number, </w:t>
      </w:r>
    </w:p>
    <w:p w14:paraId="63CDA424" w14:textId="77777777" w:rsidR="008432DD" w:rsidRPr="00791AB9" w:rsidRDefault="00B9644E" w:rsidP="00B9644E">
      <w:pPr>
        <w:rPr>
          <w:lang w:val="en-GB"/>
        </w:rPr>
      </w:pPr>
      <w:r w:rsidRPr="00791AB9">
        <w:rPr>
          <w:lang w:val="en-GB"/>
        </w:rPr>
        <w:t xml:space="preserve">(ii) reference to the position number(s) on the Purchase Order of the products delivered, </w:t>
      </w:r>
    </w:p>
    <w:p w14:paraId="63CDA425" w14:textId="77777777"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14:paraId="63CDA426" w14:textId="77777777" w:rsidR="00B9644E" w:rsidRPr="00791AB9" w:rsidRDefault="00B9644E" w:rsidP="00B9644E">
      <w:pPr>
        <w:rPr>
          <w:lang w:val="en-GB"/>
        </w:rPr>
      </w:pPr>
    </w:p>
    <w:p w14:paraId="63CDA427" w14:textId="77777777" w:rsidR="00B9644E" w:rsidRPr="00791AB9" w:rsidRDefault="00B9644E" w:rsidP="00B9644E">
      <w:pPr>
        <w:pStyle w:val="Overskrift1"/>
        <w:rPr>
          <w:lang w:val="en-GB"/>
        </w:rPr>
      </w:pPr>
      <w:r w:rsidRPr="00791AB9">
        <w:rPr>
          <w:lang w:val="en-GB"/>
        </w:rPr>
        <w:t>Prices</w:t>
      </w:r>
    </w:p>
    <w:p w14:paraId="63CDA428" w14:textId="77777777"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r w:rsidR="00144F70">
        <w:fldChar w:fldCharType="begin"/>
      </w:r>
      <w:r w:rsidR="00144F70">
        <w:instrText xml:space="preserve"> REF _Ref469415600 \r \h  \* MERGEFORMAT </w:instrText>
      </w:r>
      <w:r w:rsidR="00144F70">
        <w:fldChar w:fldCharType="separate"/>
      </w:r>
      <w:r w:rsidR="000F24F7">
        <w:t>5</w:t>
      </w:r>
      <w:r w:rsidR="00144F70">
        <w:fldChar w:fldCharType="end"/>
      </w:r>
      <w:r w:rsidRPr="00791AB9">
        <w:rPr>
          <w:lang w:val="en-GB"/>
        </w:rPr>
        <w:t xml:space="preserve">.  </w:t>
      </w:r>
    </w:p>
    <w:p w14:paraId="63CDA429" w14:textId="77777777" w:rsidR="008432DD" w:rsidRPr="00791AB9" w:rsidRDefault="008432DD" w:rsidP="00B9644E">
      <w:pPr>
        <w:rPr>
          <w:lang w:val="en-GB"/>
        </w:rPr>
      </w:pPr>
    </w:p>
    <w:p w14:paraId="63CDA42A" w14:textId="77777777"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14:paraId="63CDA42B" w14:textId="77777777"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14:paraId="63CDA42C" w14:textId="77777777" w:rsidR="00B9644E" w:rsidRPr="00791AB9" w:rsidRDefault="00B9644E" w:rsidP="00B9644E">
      <w:pPr>
        <w:rPr>
          <w:lang w:val="en-GB"/>
        </w:rPr>
      </w:pPr>
    </w:p>
    <w:p w14:paraId="63CDA42D" w14:textId="77777777" w:rsidR="00B9644E" w:rsidRPr="00791AB9" w:rsidRDefault="00B9644E" w:rsidP="00B9644E">
      <w:pPr>
        <w:pStyle w:val="Overskrift1"/>
        <w:rPr>
          <w:lang w:val="en-GB"/>
        </w:rPr>
      </w:pPr>
      <w:r w:rsidRPr="00791AB9">
        <w:rPr>
          <w:lang w:val="en-GB"/>
        </w:rPr>
        <w:t>Payment</w:t>
      </w:r>
    </w:p>
    <w:p w14:paraId="63CDA42E" w14:textId="77777777" w:rsidR="00B9644E" w:rsidRPr="00791AB9" w:rsidRDefault="00B9644E" w:rsidP="00B9644E">
      <w:pPr>
        <w:pStyle w:val="Overskrift2"/>
        <w:rPr>
          <w:lang w:val="en-GB"/>
        </w:rPr>
      </w:pPr>
      <w:r w:rsidRPr="00791AB9">
        <w:rPr>
          <w:lang w:val="en-GB"/>
        </w:rPr>
        <w:t xml:space="preserve"> Payment conditions</w:t>
      </w:r>
    </w:p>
    <w:p w14:paraId="63CDA42F" w14:textId="77777777"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w:t>
      </w:r>
      <w:r w:rsidRPr="00791AB9">
        <w:rPr>
          <w:lang w:val="en-GB"/>
        </w:rPr>
        <w:lastRenderedPageBreak/>
        <w:t xml:space="preserve">contains all relevant information. Any cash discount will be calculated on the </w:t>
      </w:r>
      <w:r w:rsidR="00E4367C" w:rsidRPr="00791AB9">
        <w:rPr>
          <w:lang w:val="en-GB"/>
        </w:rPr>
        <w:t>d</w:t>
      </w:r>
      <w:r w:rsidRPr="00791AB9">
        <w:rPr>
          <w:lang w:val="en-GB"/>
        </w:rPr>
        <w:t>ay of payment.</w:t>
      </w:r>
    </w:p>
    <w:p w14:paraId="63CDA430" w14:textId="77777777" w:rsidR="00B9644E" w:rsidRPr="00791AB9" w:rsidRDefault="00B9644E" w:rsidP="00B9644E">
      <w:pPr>
        <w:rPr>
          <w:lang w:val="en-GB"/>
        </w:rPr>
      </w:pPr>
    </w:p>
    <w:p w14:paraId="63CDA431" w14:textId="77777777"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14:paraId="63CDA432" w14:textId="77777777" w:rsidR="00B9644E" w:rsidRPr="00791AB9" w:rsidRDefault="00B9644E" w:rsidP="00B9644E">
      <w:pPr>
        <w:pStyle w:val="Overskrift2"/>
        <w:rPr>
          <w:lang w:val="en-GB"/>
        </w:rPr>
      </w:pPr>
      <w:r w:rsidRPr="00791AB9">
        <w:rPr>
          <w:lang w:val="en-GB"/>
        </w:rPr>
        <w:t>Invoic</w:t>
      </w:r>
      <w:r w:rsidR="00C364D7" w:rsidRPr="00791AB9">
        <w:rPr>
          <w:lang w:val="en-GB"/>
        </w:rPr>
        <w:t>ing</w:t>
      </w:r>
    </w:p>
    <w:p w14:paraId="63CDA433" w14:textId="77777777" w:rsidR="00F84EF6" w:rsidRPr="00791AB9" w:rsidRDefault="00F84EF6" w:rsidP="006A63A9">
      <w:pPr>
        <w:pStyle w:val="Listeafsnit"/>
        <w:keepNext/>
        <w:spacing w:line="360" w:lineRule="auto"/>
        <w:ind w:left="851"/>
        <w:contextualSpacing w:val="0"/>
        <w:outlineLvl w:val="2"/>
        <w:rPr>
          <w:vanish/>
        </w:rPr>
      </w:pPr>
      <w:bookmarkStart w:id="8" w:name="_Toc453059093"/>
    </w:p>
    <w:p w14:paraId="63CDA434"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14:paraId="63CDA435" w14:textId="77777777"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14:paraId="63CDA436" w14:textId="77777777" w:rsidR="005844FB" w:rsidRPr="00791AB9" w:rsidRDefault="005844FB" w:rsidP="005844FB">
      <w:pPr>
        <w:rPr>
          <w:lang w:val="en-GB"/>
        </w:rPr>
      </w:pPr>
    </w:p>
    <w:p w14:paraId="63CDA437" w14:textId="77777777" w:rsidR="005844FB" w:rsidRPr="00791AB9" w:rsidRDefault="005844FB" w:rsidP="005844FB">
      <w:pPr>
        <w:rPr>
          <w:lang w:val="da-DK"/>
        </w:rPr>
      </w:pPr>
      <w:r w:rsidRPr="00791AB9">
        <w:rPr>
          <w:lang w:val="da-DK"/>
        </w:rPr>
        <w:t>Forsvarsministeriets Regnskabsstyrelse (Danish Defence Accounting Agency)</w:t>
      </w:r>
    </w:p>
    <w:p w14:paraId="63CDA438" w14:textId="77777777" w:rsidR="005844FB" w:rsidRPr="00791AB9" w:rsidRDefault="005844FB" w:rsidP="005844FB">
      <w:pPr>
        <w:rPr>
          <w:lang w:val="da-DK"/>
        </w:rPr>
      </w:pPr>
      <w:r w:rsidRPr="00791AB9">
        <w:rPr>
          <w:lang w:val="da-DK"/>
        </w:rPr>
        <w:t>Arsenalvej 55</w:t>
      </w:r>
    </w:p>
    <w:p w14:paraId="63CDA439" w14:textId="77777777" w:rsidR="005844FB" w:rsidRPr="00791AB9" w:rsidRDefault="005844FB" w:rsidP="005844FB">
      <w:pPr>
        <w:rPr>
          <w:lang w:val="da-DK"/>
        </w:rPr>
      </w:pPr>
      <w:r w:rsidRPr="00791AB9">
        <w:rPr>
          <w:lang w:val="da-DK"/>
        </w:rPr>
        <w:t>9800 Hjørring</w:t>
      </w:r>
    </w:p>
    <w:p w14:paraId="63CDA43A" w14:textId="77777777" w:rsidR="005844FB" w:rsidRPr="00791AB9" w:rsidRDefault="005844FB" w:rsidP="005844FB">
      <w:pPr>
        <w:rPr>
          <w:lang w:val="en-GB"/>
        </w:rPr>
      </w:pPr>
      <w:r w:rsidRPr="00791AB9">
        <w:rPr>
          <w:lang w:val="en-GB"/>
        </w:rPr>
        <w:t>Denmark</w:t>
      </w:r>
    </w:p>
    <w:p w14:paraId="63CDA43B" w14:textId="77777777" w:rsidR="005844FB" w:rsidRPr="00791AB9" w:rsidRDefault="005844FB" w:rsidP="005844FB">
      <w:pPr>
        <w:rPr>
          <w:lang w:val="en-GB"/>
        </w:rPr>
      </w:pPr>
    </w:p>
    <w:p w14:paraId="63CDA43C" w14:textId="77777777"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14:paraId="63CDA43D" w14:textId="77777777" w:rsidR="005844FB" w:rsidRPr="00791AB9" w:rsidRDefault="005844FB" w:rsidP="005844FB">
      <w:pPr>
        <w:rPr>
          <w:lang w:val="en-GB"/>
        </w:rPr>
      </w:pPr>
    </w:p>
    <w:p w14:paraId="63CDA43E" w14:textId="77777777"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14:paraId="63CDA43F" w14:textId="77777777" w:rsidR="005844FB" w:rsidRPr="00791AB9" w:rsidRDefault="005844FB" w:rsidP="005844FB">
      <w:pPr>
        <w:rPr>
          <w:lang w:val="en-GB"/>
        </w:rPr>
      </w:pPr>
    </w:p>
    <w:p w14:paraId="63CDA440"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1" w14:textId="77777777" w:rsidR="005844FB" w:rsidRPr="00791AB9" w:rsidRDefault="005844FB" w:rsidP="005844FB">
      <w:pPr>
        <w:rPr>
          <w:lang w:val="en-GB"/>
        </w:rPr>
      </w:pPr>
    </w:p>
    <w:p w14:paraId="63CDA442"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14:paraId="63CDA443" w14:textId="77777777"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14:paraId="63CDA444" w14:textId="77777777" w:rsidR="005844FB" w:rsidRPr="00791AB9" w:rsidRDefault="005844FB" w:rsidP="005844FB">
      <w:pPr>
        <w:rPr>
          <w:lang w:val="en-GB"/>
        </w:rPr>
      </w:pPr>
    </w:p>
    <w:p w14:paraId="63CDA445" w14:textId="77777777" w:rsidR="005844FB" w:rsidRPr="00791AB9" w:rsidRDefault="005844FB" w:rsidP="005844FB">
      <w:pPr>
        <w:rPr>
          <w:lang w:val="en-GB"/>
        </w:rPr>
      </w:pPr>
      <w:r w:rsidRPr="00791AB9">
        <w:rPr>
          <w:lang w:val="en-GB"/>
        </w:rPr>
        <w:t>If possible, the foreign Suppliers can submit the invoice electronically in OIOUBL format.</w:t>
      </w:r>
    </w:p>
    <w:p w14:paraId="63CDA446" w14:textId="77777777" w:rsidR="005844FB" w:rsidRPr="00791AB9" w:rsidRDefault="005844FB" w:rsidP="005844FB">
      <w:pPr>
        <w:rPr>
          <w:lang w:val="en-GB"/>
        </w:rPr>
      </w:pPr>
    </w:p>
    <w:p w14:paraId="63CDA447" w14:textId="77777777"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14:paraId="63CDA448" w14:textId="77777777" w:rsidR="005844FB" w:rsidRPr="00791AB9" w:rsidRDefault="005844FB" w:rsidP="005844FB">
      <w:pPr>
        <w:rPr>
          <w:lang w:val="en-GB"/>
        </w:rPr>
      </w:pPr>
    </w:p>
    <w:p w14:paraId="63CDA449" w14:textId="77777777"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14:paraId="63CDA44A" w14:textId="77777777" w:rsidR="005844FB" w:rsidRPr="00791AB9" w:rsidRDefault="005844FB" w:rsidP="005844FB">
      <w:pPr>
        <w:rPr>
          <w:lang w:val="en-GB"/>
        </w:rPr>
      </w:pPr>
      <w:r w:rsidRPr="00791AB9">
        <w:rPr>
          <w:lang w:val="en-GB"/>
        </w:rPr>
        <w:t xml:space="preserve">If an electronic invoice does not comply with the requirements above, the invoice will be rejected and returned as incorrect and no payment will take place. Likewise, no interest will be paid for the period until a </w:t>
      </w:r>
      <w:r w:rsidRPr="00791AB9">
        <w:rPr>
          <w:lang w:val="en-GB"/>
        </w:rPr>
        <w:lastRenderedPageBreak/>
        <w:t>correct electronic invoice has been submitted</w:t>
      </w:r>
      <w:r w:rsidR="00AD69EF" w:rsidRPr="00791AB9">
        <w:rPr>
          <w:lang w:val="en-GB"/>
        </w:rPr>
        <w:t xml:space="preserve"> and the payment deadline has passed</w:t>
      </w:r>
      <w:r w:rsidRPr="00791AB9">
        <w:rPr>
          <w:lang w:val="en-GB"/>
        </w:rPr>
        <w:t>.</w:t>
      </w:r>
    </w:p>
    <w:p w14:paraId="63CDA44B" w14:textId="77777777" w:rsidR="005844FB" w:rsidRPr="00791AB9" w:rsidRDefault="005844FB" w:rsidP="005844FB">
      <w:pPr>
        <w:rPr>
          <w:lang w:val="en-GB"/>
        </w:rPr>
      </w:pPr>
    </w:p>
    <w:p w14:paraId="63CDA44C"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D" w14:textId="77777777" w:rsidR="009F2941" w:rsidRPr="00791AB9" w:rsidRDefault="009F2941" w:rsidP="00B9644E">
      <w:pPr>
        <w:rPr>
          <w:lang w:val="en-GB"/>
        </w:rPr>
      </w:pPr>
    </w:p>
    <w:p w14:paraId="63CDA44E" w14:textId="77777777" w:rsidR="00B9644E" w:rsidRPr="00791AB9" w:rsidRDefault="00B9644E" w:rsidP="00B9644E">
      <w:pPr>
        <w:pStyle w:val="Overskrift1"/>
        <w:rPr>
          <w:lang w:val="en-GB"/>
        </w:rPr>
      </w:pPr>
      <w:r w:rsidRPr="00791AB9">
        <w:rPr>
          <w:lang w:val="en-GB"/>
        </w:rPr>
        <w:t>Defects</w:t>
      </w:r>
    </w:p>
    <w:p w14:paraId="63CDA44F" w14:textId="77777777" w:rsidR="00B9644E" w:rsidRPr="00791AB9" w:rsidRDefault="00B9644E" w:rsidP="00B9644E">
      <w:pPr>
        <w:pStyle w:val="Overskrift2"/>
        <w:rPr>
          <w:lang w:val="en-GB"/>
        </w:rPr>
      </w:pPr>
      <w:r w:rsidRPr="00791AB9">
        <w:rPr>
          <w:lang w:val="en-GB"/>
        </w:rPr>
        <w:t>Generally</w:t>
      </w:r>
    </w:p>
    <w:p w14:paraId="63CDA450"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14:paraId="63CDA451" w14:textId="77777777" w:rsidR="00B9644E" w:rsidRPr="00791AB9" w:rsidRDefault="00B9644E" w:rsidP="00B9644E">
      <w:pPr>
        <w:rPr>
          <w:lang w:val="en-GB"/>
        </w:rPr>
      </w:pPr>
    </w:p>
    <w:p w14:paraId="63CDA452" w14:textId="77777777"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14:paraId="63CDA453" w14:textId="77777777" w:rsidR="00140D67" w:rsidRPr="00791AB9" w:rsidRDefault="00140D67" w:rsidP="00B9644E">
      <w:pPr>
        <w:rPr>
          <w:lang w:val="en-GB"/>
        </w:rPr>
      </w:pPr>
    </w:p>
    <w:p w14:paraId="63CDA454" w14:textId="77777777"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14:paraId="63CDA455" w14:textId="77777777" w:rsidR="001134F7" w:rsidRPr="00791AB9" w:rsidRDefault="001134F7" w:rsidP="00B9644E">
      <w:pPr>
        <w:rPr>
          <w:lang w:val="en-GB"/>
        </w:rPr>
      </w:pPr>
    </w:p>
    <w:p w14:paraId="63CDA456"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14:paraId="63CDA457" w14:textId="77777777" w:rsidR="002B5F99" w:rsidRPr="00791AB9" w:rsidRDefault="002B5F99" w:rsidP="00B9644E">
      <w:pPr>
        <w:rPr>
          <w:lang w:val="en-GB"/>
        </w:rPr>
      </w:pPr>
    </w:p>
    <w:p w14:paraId="63CDA458" w14:textId="77777777"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14:paraId="63CDA459" w14:textId="77777777" w:rsidR="001134F7" w:rsidRPr="00791AB9" w:rsidRDefault="001134F7" w:rsidP="00B9644E">
      <w:pPr>
        <w:rPr>
          <w:lang w:val="en-GB"/>
        </w:rPr>
      </w:pPr>
    </w:p>
    <w:p w14:paraId="63CDA45A" w14:textId="77777777"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14:paraId="63CDA45B" w14:textId="77777777" w:rsidR="00B9644E" w:rsidRPr="00791AB9" w:rsidRDefault="00B9644E" w:rsidP="00B9644E">
      <w:pPr>
        <w:rPr>
          <w:lang w:val="en-GB"/>
        </w:rPr>
      </w:pPr>
    </w:p>
    <w:p w14:paraId="63CDA45C" w14:textId="77777777"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14:paraId="63CDA45D" w14:textId="77777777" w:rsidR="00B9644E" w:rsidRPr="00791AB9" w:rsidRDefault="00B9644E" w:rsidP="00B9644E">
      <w:pPr>
        <w:rPr>
          <w:lang w:val="en-GB"/>
        </w:rPr>
      </w:pPr>
    </w:p>
    <w:p w14:paraId="63CDA45E" w14:textId="77777777"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14:paraId="63CDA45F" w14:textId="77777777" w:rsidR="00B9644E" w:rsidRPr="00791AB9" w:rsidRDefault="00B9644E" w:rsidP="00B9644E">
      <w:pPr>
        <w:pStyle w:val="Overskrift2"/>
        <w:rPr>
          <w:lang w:val="en-GB"/>
        </w:rPr>
      </w:pPr>
      <w:bookmarkStart w:id="9" w:name="_Ref336069474"/>
      <w:r w:rsidRPr="00791AB9">
        <w:rPr>
          <w:lang w:val="en-GB"/>
        </w:rPr>
        <w:t>Material Defects</w:t>
      </w:r>
      <w:bookmarkEnd w:id="9"/>
    </w:p>
    <w:p w14:paraId="63CDA460" w14:textId="77777777"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r w:rsidR="00144F70">
        <w:fldChar w:fldCharType="begin"/>
      </w:r>
      <w:r w:rsidR="00144F70">
        <w:instrText xml:space="preserve"> REF _Ref336015294 \r \h  \* MERGEFORMAT </w:instrText>
      </w:r>
      <w:r w:rsidR="00144F70">
        <w:fldChar w:fldCharType="separate"/>
      </w:r>
      <w:r w:rsidR="000F24F7" w:rsidRPr="000F24F7">
        <w:rPr>
          <w:lang w:val="en-GB"/>
        </w:rPr>
        <w:t>11</w:t>
      </w:r>
      <w:r w:rsidR="00144F70">
        <w:fldChar w:fldCharType="end"/>
      </w:r>
      <w:r w:rsidRPr="00791AB9">
        <w:rPr>
          <w:lang w:val="en-GB"/>
        </w:rPr>
        <w:t>.</w:t>
      </w:r>
    </w:p>
    <w:p w14:paraId="63CDA461" w14:textId="77777777" w:rsidR="004404D2" w:rsidRPr="00791AB9" w:rsidRDefault="004404D2" w:rsidP="00B9644E">
      <w:pPr>
        <w:rPr>
          <w:lang w:val="en-GB"/>
        </w:rPr>
      </w:pPr>
    </w:p>
    <w:p w14:paraId="63CDA462" w14:textId="77777777" w:rsidR="00B9644E" w:rsidRPr="00791AB9" w:rsidRDefault="00B9644E" w:rsidP="00B9644E">
      <w:pPr>
        <w:pStyle w:val="Overskrift1"/>
        <w:rPr>
          <w:lang w:val="en-GB"/>
        </w:rPr>
      </w:pPr>
      <w:r w:rsidRPr="00791AB9">
        <w:rPr>
          <w:lang w:val="en-GB"/>
        </w:rPr>
        <w:t>Delay</w:t>
      </w:r>
    </w:p>
    <w:p w14:paraId="63CDA463" w14:textId="77777777" w:rsidR="00B9644E" w:rsidRPr="00791AB9" w:rsidRDefault="00B9644E" w:rsidP="00B9644E">
      <w:pPr>
        <w:pStyle w:val="Overskrift2"/>
        <w:rPr>
          <w:lang w:val="en-GB"/>
        </w:rPr>
      </w:pPr>
      <w:bookmarkStart w:id="10" w:name="_Ref336069493"/>
      <w:r w:rsidRPr="00791AB9">
        <w:rPr>
          <w:lang w:val="en-GB"/>
        </w:rPr>
        <w:lastRenderedPageBreak/>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14:paraId="63CDA46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14:paraId="63CDA465" w14:textId="77777777" w:rsidR="00B9644E" w:rsidRPr="00791AB9" w:rsidRDefault="00B9644E" w:rsidP="00B9644E">
      <w:pPr>
        <w:rPr>
          <w:lang w:val="en-GB"/>
        </w:rPr>
      </w:pPr>
    </w:p>
    <w:p w14:paraId="63CDA466" w14:textId="77777777"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14:paraId="63CDA467" w14:textId="77777777" w:rsidR="001F2773" w:rsidRPr="00791AB9" w:rsidRDefault="001F2773" w:rsidP="001F2773"/>
    <w:p w14:paraId="63CDA468" w14:textId="77777777"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14:paraId="63CDA469" w14:textId="77777777" w:rsidR="001F2773" w:rsidRPr="00791AB9" w:rsidRDefault="001F2773" w:rsidP="001F2773"/>
    <w:p w14:paraId="63CDA46A" w14:textId="77777777"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14:paraId="63CDA46B" w14:textId="77777777" w:rsidR="001F2773" w:rsidRPr="00791AB9" w:rsidRDefault="001F2773" w:rsidP="00B9644E"/>
    <w:p w14:paraId="63CDA46C" w14:textId="77777777"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r w:rsidR="00144F70">
        <w:fldChar w:fldCharType="begin"/>
      </w:r>
      <w:r w:rsidR="00144F70">
        <w:instrText xml:space="preserve"> REF _Ref339378399 \r \h  \* MERGEFORMAT </w:instrText>
      </w:r>
      <w:r w:rsidR="00144F70">
        <w:fldChar w:fldCharType="separate"/>
      </w:r>
      <w:r w:rsidR="000F24F7" w:rsidRPr="000F24F7">
        <w:rPr>
          <w:u w:val="single"/>
          <w:lang w:val="en-GB"/>
        </w:rPr>
        <w:t>11.1</w:t>
      </w:r>
      <w:r w:rsidR="00144F70">
        <w:fldChar w:fldCharType="end"/>
      </w:r>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14:paraId="63CDA46D" w14:textId="77777777" w:rsidR="00B9644E" w:rsidRPr="00791AB9" w:rsidRDefault="00B9644E" w:rsidP="00B9644E">
      <w:pPr>
        <w:rPr>
          <w:lang w:val="en-GB"/>
        </w:rPr>
      </w:pPr>
    </w:p>
    <w:p w14:paraId="63CDA46E" w14:textId="77777777"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14:paraId="63CDA46F" w14:textId="77777777" w:rsidR="00D44EC7" w:rsidRPr="00791AB9" w:rsidRDefault="00D44EC7" w:rsidP="00B9644E">
      <w:pPr>
        <w:rPr>
          <w:lang w:val="en-GB"/>
        </w:rPr>
      </w:pPr>
    </w:p>
    <w:p w14:paraId="63CDA470" w14:textId="77777777"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14:paraId="63CDA471" w14:textId="77777777" w:rsidR="00ED4A6C" w:rsidRPr="00791AB9" w:rsidRDefault="00ED4A6C" w:rsidP="00B9644E">
      <w:pPr>
        <w:rPr>
          <w:lang w:val="en-GB"/>
        </w:rPr>
      </w:pPr>
    </w:p>
    <w:p w14:paraId="63CDA472" w14:textId="77777777"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14:paraId="63CDA473" w14:textId="77777777" w:rsidR="00ED4A6C" w:rsidRPr="00791AB9" w:rsidRDefault="00ED4A6C" w:rsidP="00ED4A6C"/>
    <w:p w14:paraId="63CDA474" w14:textId="77777777"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14:paraId="63CDA475" w14:textId="77777777" w:rsidR="00B9644E" w:rsidRPr="00791AB9" w:rsidRDefault="00B9644E" w:rsidP="00B9644E">
      <w:pPr>
        <w:pStyle w:val="Overskrift2"/>
        <w:rPr>
          <w:lang w:val="en-GB"/>
        </w:rPr>
      </w:pPr>
      <w:bookmarkStart w:id="11" w:name="_Ref336248473"/>
      <w:r w:rsidRPr="00791AB9">
        <w:rPr>
          <w:lang w:val="en-GB"/>
        </w:rPr>
        <w:t>The Buyer's Delay</w:t>
      </w:r>
      <w:bookmarkEnd w:id="11"/>
    </w:p>
    <w:p w14:paraId="63CDA476" w14:textId="77777777"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14:paraId="63CDA477" w14:textId="77777777" w:rsidR="002B5F99" w:rsidRPr="00791AB9" w:rsidRDefault="002B5F99" w:rsidP="00B9644E">
      <w:pPr>
        <w:rPr>
          <w:lang w:val="en-GB"/>
        </w:rPr>
      </w:pPr>
    </w:p>
    <w:p w14:paraId="63CDA478" w14:textId="77777777" w:rsidR="00B9644E" w:rsidRPr="00791AB9" w:rsidRDefault="00B9644E" w:rsidP="00B9644E">
      <w:pPr>
        <w:pStyle w:val="Overskrift1"/>
        <w:rPr>
          <w:lang w:val="en-GB"/>
        </w:rPr>
      </w:pPr>
      <w:bookmarkStart w:id="12" w:name="_Ref336015294"/>
      <w:r w:rsidRPr="00791AB9">
        <w:rPr>
          <w:lang w:val="en-GB"/>
        </w:rPr>
        <w:t>Termination</w:t>
      </w:r>
      <w:bookmarkEnd w:id="12"/>
    </w:p>
    <w:p w14:paraId="63CDA479" w14:textId="77777777"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14:paraId="63CDA47A" w14:textId="77777777"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w:t>
      </w:r>
      <w:r w:rsidR="00B9644E" w:rsidRPr="00791AB9">
        <w:rPr>
          <w:lang w:val="en-GB"/>
        </w:rPr>
        <w:lastRenderedPageBreak/>
        <w:t>the Agreement.</w:t>
      </w:r>
      <w:r w:rsidR="00F84623" w:rsidRPr="00791AB9">
        <w:rPr>
          <w:lang w:val="en-GB"/>
        </w:rPr>
        <w:t xml:space="preserve"> This shall apply regardless of any other provision of the Agreement.</w:t>
      </w:r>
    </w:p>
    <w:p w14:paraId="63CDA47B" w14:textId="77777777" w:rsidR="00B9644E" w:rsidRPr="00791AB9" w:rsidRDefault="00B9644E" w:rsidP="00B9644E">
      <w:pPr>
        <w:rPr>
          <w:lang w:val="en-GB"/>
        </w:rPr>
      </w:pPr>
    </w:p>
    <w:p w14:paraId="63CDA47C" w14:textId="77777777" w:rsidR="00B9644E" w:rsidRPr="00791AB9" w:rsidRDefault="00B9644E" w:rsidP="00B9644E">
      <w:pPr>
        <w:rPr>
          <w:lang w:val="en-GB"/>
        </w:rPr>
      </w:pPr>
      <w:r w:rsidRPr="00791AB9">
        <w:rPr>
          <w:lang w:val="en-GB"/>
        </w:rPr>
        <w:t>Material breach includes, but is not limited to, the following situations:</w:t>
      </w:r>
    </w:p>
    <w:p w14:paraId="63CDA47D" w14:textId="77777777" w:rsidR="00B9644E" w:rsidRPr="00791AB9" w:rsidRDefault="00B9644E" w:rsidP="00B9644E">
      <w:pPr>
        <w:tabs>
          <w:tab w:val="left" w:pos="426"/>
        </w:tabs>
        <w:rPr>
          <w:lang w:val="en-GB"/>
        </w:rPr>
      </w:pPr>
    </w:p>
    <w:p w14:paraId="63CDA47E"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14:paraId="63CDA47F"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r w:rsidR="00144F70">
        <w:fldChar w:fldCharType="begin"/>
      </w:r>
      <w:r w:rsidR="00144F70">
        <w:instrText xml:space="preserve"> REF _Ref336069474 \r \h  \* MERGEFORMAT </w:instrText>
      </w:r>
      <w:r w:rsidR="00144F70">
        <w:fldChar w:fldCharType="separate"/>
      </w:r>
      <w:r w:rsidR="000F24F7" w:rsidRPr="000F24F7">
        <w:rPr>
          <w:lang w:val="en-GB"/>
        </w:rPr>
        <w:t>9.2</w:t>
      </w:r>
      <w:r w:rsidR="00144F70">
        <w:fldChar w:fldCharType="end"/>
      </w:r>
      <w:r w:rsidRPr="00791AB9">
        <w:rPr>
          <w:lang w:val="en-GB"/>
        </w:rPr>
        <w:t>,</w:t>
      </w:r>
    </w:p>
    <w:p w14:paraId="63CDA480"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r w:rsidR="00144F70">
        <w:fldChar w:fldCharType="begin"/>
      </w:r>
      <w:r w:rsidR="00144F70">
        <w:instrText xml:space="preserve"> REF _Ref336069493 \r \h  \* MERGEFORMAT </w:instrText>
      </w:r>
      <w:r w:rsidR="00144F70">
        <w:fldChar w:fldCharType="separate"/>
      </w:r>
      <w:r w:rsidR="000F24F7" w:rsidRPr="000F24F7">
        <w:rPr>
          <w:lang w:val="en-GB"/>
        </w:rPr>
        <w:t>10.1</w:t>
      </w:r>
      <w:r w:rsidR="00144F70">
        <w:fldChar w:fldCharType="end"/>
      </w:r>
      <w:r w:rsidRPr="00791AB9">
        <w:rPr>
          <w:lang w:val="en-GB"/>
        </w:rPr>
        <w:t>,</w:t>
      </w:r>
    </w:p>
    <w:p w14:paraId="63CDA481" w14:textId="77777777"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14:paraId="63CDA482"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r w:rsidR="00144F70">
        <w:fldChar w:fldCharType="begin"/>
      </w:r>
      <w:r w:rsidR="00144F70">
        <w:instrText xml:space="preserve"> REF _Ref341788749 \r \h  \* MERGEFORMAT </w:instrText>
      </w:r>
      <w:r w:rsidR="00144F70">
        <w:fldChar w:fldCharType="separate"/>
      </w:r>
      <w:r w:rsidR="000F24F7" w:rsidRPr="000F24F7">
        <w:rPr>
          <w:lang w:val="en-GB"/>
        </w:rPr>
        <w:t>4.7</w:t>
      </w:r>
      <w:r w:rsidR="00144F70">
        <w:fldChar w:fldCharType="end"/>
      </w:r>
      <w:r w:rsidR="004F7887" w:rsidRPr="00791AB9">
        <w:rPr>
          <w:lang w:val="en-GB"/>
        </w:rPr>
        <w:t>,</w:t>
      </w:r>
    </w:p>
    <w:p w14:paraId="63CDA483" w14:textId="77777777"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14:paraId="63CDA484" w14:textId="77777777" w:rsidR="00B9644E" w:rsidRPr="00791AB9" w:rsidRDefault="00B9644E" w:rsidP="00B9644E">
      <w:pPr>
        <w:rPr>
          <w:lang w:val="en-GB"/>
        </w:rPr>
      </w:pPr>
    </w:p>
    <w:p w14:paraId="63CDA485" w14:textId="77777777"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14:paraId="63CDA486" w14:textId="77777777" w:rsidR="00B9644E" w:rsidRPr="00791AB9" w:rsidRDefault="00B9644E" w:rsidP="00B9644E">
      <w:pPr>
        <w:rPr>
          <w:lang w:val="en-GB"/>
        </w:rPr>
      </w:pPr>
    </w:p>
    <w:p w14:paraId="63CDA48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r w:rsidR="00144F70">
        <w:fldChar w:fldCharType="begin"/>
      </w:r>
      <w:r w:rsidR="00144F70">
        <w:instrText xml:space="preserve"> REF _Ref336070276 \r \h  \* MERGEFORMAT </w:instrText>
      </w:r>
      <w:r w:rsidR="00144F70">
        <w:fldChar w:fldCharType="separate"/>
      </w:r>
      <w:r w:rsidR="000F24F7" w:rsidRPr="000F24F7">
        <w:rPr>
          <w:lang w:val="en-GB"/>
        </w:rPr>
        <w:t>12.1</w:t>
      </w:r>
      <w:r w:rsidR="00144F70">
        <w:fldChar w:fldCharType="end"/>
      </w:r>
      <w:r w:rsidRPr="00791AB9">
        <w:rPr>
          <w:lang w:val="en-GB"/>
        </w:rPr>
        <w:t>.</w:t>
      </w:r>
    </w:p>
    <w:p w14:paraId="63CDA488" w14:textId="77777777" w:rsidR="00B9644E" w:rsidRPr="00791AB9" w:rsidRDefault="00B9644E" w:rsidP="00B9644E">
      <w:pPr>
        <w:rPr>
          <w:lang w:val="en-GB"/>
        </w:rPr>
      </w:pPr>
    </w:p>
    <w:p w14:paraId="63CDA489" w14:textId="77777777"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14:paraId="63CDA48A" w14:textId="77777777" w:rsidR="00B9644E" w:rsidRPr="00791AB9" w:rsidRDefault="00B9644E" w:rsidP="00B9644E">
      <w:pPr>
        <w:pStyle w:val="Overskrift2"/>
        <w:rPr>
          <w:lang w:val="en-GB"/>
        </w:rPr>
      </w:pPr>
      <w:r w:rsidRPr="00791AB9">
        <w:rPr>
          <w:lang w:val="en-GB"/>
        </w:rPr>
        <w:t>The Buyer's Non-Performance</w:t>
      </w:r>
    </w:p>
    <w:p w14:paraId="63CDA48B" w14:textId="77777777"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r w:rsidR="00144F70">
        <w:fldChar w:fldCharType="begin"/>
      </w:r>
      <w:r w:rsidR="00144F70">
        <w:instrText xml:space="preserve"> REF _Ref336248473 \r \h  \* MERGEFORMAT </w:instrText>
      </w:r>
      <w:r w:rsidR="00144F70">
        <w:fldChar w:fldCharType="separate"/>
      </w:r>
      <w:r w:rsidR="000F24F7" w:rsidRPr="000F24F7">
        <w:rPr>
          <w:lang w:val="en-GB"/>
        </w:rPr>
        <w:t>10.2</w:t>
      </w:r>
      <w:r w:rsidR="00144F70">
        <w:fldChar w:fldCharType="end"/>
      </w:r>
      <w:r w:rsidRPr="00791AB9">
        <w:rPr>
          <w:lang w:val="en-GB"/>
        </w:rPr>
        <w:t xml:space="preserve">. </w:t>
      </w:r>
    </w:p>
    <w:p w14:paraId="63CDA48C" w14:textId="77777777" w:rsidR="00B9644E" w:rsidRPr="00791AB9" w:rsidRDefault="00B9644E" w:rsidP="00B9644E">
      <w:pPr>
        <w:rPr>
          <w:lang w:val="en-GB"/>
        </w:rPr>
      </w:pPr>
    </w:p>
    <w:p w14:paraId="63CDA48D"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14:paraId="63CDA48E" w14:textId="77777777"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14:paraId="63CDA48F" w14:textId="77777777"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14:paraId="63CDA490" w14:textId="77777777" w:rsidR="00B9644E" w:rsidRPr="00791AB9" w:rsidRDefault="00B9644E" w:rsidP="00B9644E">
      <w:pPr>
        <w:rPr>
          <w:lang w:val="en-GB"/>
        </w:rPr>
      </w:pPr>
    </w:p>
    <w:p w14:paraId="63CDA491" w14:textId="77777777" w:rsidR="00B9644E" w:rsidRPr="00791AB9" w:rsidRDefault="00B9644E" w:rsidP="00B9644E">
      <w:pPr>
        <w:rPr>
          <w:lang w:val="en-GB"/>
        </w:rPr>
      </w:pPr>
      <w:r w:rsidRPr="00791AB9">
        <w:rPr>
          <w:lang w:val="en-GB"/>
        </w:rPr>
        <w:lastRenderedPageBreak/>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14:paraId="63CDA492" w14:textId="77777777" w:rsidR="00B9644E" w:rsidRPr="00791AB9" w:rsidRDefault="00B9644E" w:rsidP="00B9644E">
      <w:pPr>
        <w:rPr>
          <w:lang w:val="en-GB"/>
        </w:rPr>
      </w:pPr>
    </w:p>
    <w:p w14:paraId="63CDA493"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14:paraId="63CDA494" w14:textId="77777777" w:rsidR="00D44EC7" w:rsidRPr="00791AB9" w:rsidRDefault="00D44EC7" w:rsidP="00B9644E">
      <w:pPr>
        <w:rPr>
          <w:lang w:val="en-GB"/>
        </w:rPr>
      </w:pPr>
    </w:p>
    <w:p w14:paraId="63CDA495" w14:textId="77777777"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14:paraId="63CDA496" w14:textId="77777777" w:rsidR="00B9644E" w:rsidRPr="00791AB9" w:rsidRDefault="00B9644E" w:rsidP="00B9644E">
      <w:pPr>
        <w:rPr>
          <w:lang w:val="en-GB"/>
        </w:rPr>
      </w:pPr>
    </w:p>
    <w:p w14:paraId="63CDA49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14:paraId="63CDA498" w14:textId="77777777" w:rsidR="00B9644E" w:rsidRPr="00791AB9" w:rsidRDefault="00B9644E" w:rsidP="00B9644E">
      <w:pPr>
        <w:rPr>
          <w:lang w:val="en-GB"/>
        </w:rPr>
      </w:pPr>
    </w:p>
    <w:p w14:paraId="63CDA499" w14:textId="77777777" w:rsidR="00B9644E" w:rsidRPr="00791AB9" w:rsidRDefault="00B9644E" w:rsidP="00B9644E">
      <w:pPr>
        <w:pStyle w:val="Overskrift1"/>
        <w:keepNext/>
        <w:rPr>
          <w:lang w:val="en-GB"/>
        </w:rPr>
      </w:pPr>
      <w:r w:rsidRPr="00791AB9">
        <w:rPr>
          <w:lang w:val="en-GB"/>
        </w:rPr>
        <w:t>Damages and Liability Cap</w:t>
      </w:r>
    </w:p>
    <w:p w14:paraId="63CDA49A" w14:textId="77777777"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14:paraId="63CDA49B" w14:textId="77777777"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14:paraId="63CDA49C" w14:textId="77777777" w:rsidR="00B9644E" w:rsidRPr="00791AB9" w:rsidRDefault="00B9644E" w:rsidP="00B9644E">
      <w:pPr>
        <w:rPr>
          <w:lang w:val="en-GB"/>
        </w:rPr>
      </w:pPr>
    </w:p>
    <w:p w14:paraId="63CDA49D" w14:textId="77777777" w:rsidR="00BA760C" w:rsidRPr="00791AB9" w:rsidRDefault="00BA760C" w:rsidP="00BA760C">
      <w:r w:rsidRPr="00791AB9">
        <w:t xml:space="preserve">The Buyer’s right to claim damages shall be without prejudice to the Buyer’s other remedies. </w:t>
      </w:r>
    </w:p>
    <w:p w14:paraId="63CDA49E" w14:textId="77777777" w:rsidR="00974812" w:rsidRPr="00791AB9" w:rsidRDefault="00974812" w:rsidP="00B9644E"/>
    <w:p w14:paraId="63CDA49F" w14:textId="77777777"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14:paraId="63CDA4A0" w14:textId="77777777" w:rsidR="00B9644E" w:rsidRPr="00791AB9" w:rsidRDefault="00B9644E" w:rsidP="00B9644E">
      <w:pPr>
        <w:pStyle w:val="Overskrift2"/>
        <w:rPr>
          <w:lang w:val="en-GB"/>
        </w:rPr>
      </w:pPr>
      <w:r w:rsidRPr="00791AB9">
        <w:rPr>
          <w:lang w:val="en-GB"/>
        </w:rPr>
        <w:t>Liability Cap</w:t>
      </w:r>
      <w:bookmarkEnd w:id="20"/>
    </w:p>
    <w:p w14:paraId="63CDA4A1" w14:textId="77777777"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14:paraId="63CDA4A2" w14:textId="77777777" w:rsidR="00B9644E" w:rsidRPr="00791AB9" w:rsidRDefault="00B9644E" w:rsidP="00B9644E">
      <w:pPr>
        <w:rPr>
          <w:lang w:val="en-GB"/>
        </w:rPr>
      </w:pPr>
    </w:p>
    <w:p w14:paraId="63CDA4A3" w14:textId="77777777"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14:paraId="63CDA4A4" w14:textId="77777777" w:rsidR="00222CB2" w:rsidRPr="00791AB9" w:rsidRDefault="00222CB2" w:rsidP="00B9644E">
      <w:pPr>
        <w:rPr>
          <w:lang w:val="en-GB"/>
        </w:rPr>
      </w:pPr>
    </w:p>
    <w:p w14:paraId="63CDA4A5" w14:textId="77777777"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r w:rsidR="00144F70">
        <w:fldChar w:fldCharType="begin"/>
      </w:r>
      <w:r w:rsidR="00144F70">
        <w:instrText xml:space="preserve"> REF _Ref335921378 \r \h  \* MERGEFORMAT </w:instrText>
      </w:r>
      <w:r w:rsidR="00144F70">
        <w:fldChar w:fldCharType="separate"/>
      </w:r>
      <w:r w:rsidR="000F24F7">
        <w:t>13.4</w:t>
      </w:r>
      <w:r w:rsidR="00144F70">
        <w:fldChar w:fldCharType="end"/>
      </w:r>
      <w:r w:rsidRPr="00791AB9">
        <w:t>.</w:t>
      </w:r>
    </w:p>
    <w:p w14:paraId="63CDA4A6" w14:textId="77777777" w:rsidR="00222CB2" w:rsidRPr="00791AB9" w:rsidRDefault="00222CB2" w:rsidP="00B9644E">
      <w:pPr>
        <w:rPr>
          <w:lang w:val="en-GB"/>
        </w:rPr>
      </w:pPr>
    </w:p>
    <w:p w14:paraId="63CDA4A7" w14:textId="77777777"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p>
    <w:p w14:paraId="63CDA4A8" w14:textId="77777777" w:rsidR="00B9644E" w:rsidRPr="00791AB9" w:rsidRDefault="00B9644E" w:rsidP="00B9644E">
      <w:pPr>
        <w:rPr>
          <w:lang w:val="en-GB"/>
        </w:rPr>
      </w:pPr>
    </w:p>
    <w:p w14:paraId="63CDA4A9" w14:textId="77777777" w:rsidR="00B9644E" w:rsidRPr="00791AB9" w:rsidRDefault="00B9644E" w:rsidP="00B9644E">
      <w:pPr>
        <w:pStyle w:val="Overskrift1"/>
        <w:rPr>
          <w:lang w:val="en-GB"/>
        </w:rPr>
      </w:pPr>
      <w:r w:rsidRPr="00791AB9">
        <w:rPr>
          <w:lang w:val="en-GB"/>
        </w:rPr>
        <w:t>Miscellaneous</w:t>
      </w:r>
    </w:p>
    <w:p w14:paraId="63CDA4AA" w14:textId="77777777"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14:paraId="63CDA4AB" w14:textId="77777777" w:rsidR="001134F7" w:rsidRPr="00791AB9" w:rsidRDefault="00B9644E" w:rsidP="00B9644E">
      <w:pPr>
        <w:rPr>
          <w:lang w:val="en-GB"/>
        </w:rPr>
      </w:pPr>
      <w:r w:rsidRPr="00791AB9">
        <w:rPr>
          <w:lang w:val="en-GB"/>
        </w:rPr>
        <w:lastRenderedPageBreak/>
        <w:t xml:space="preserve">All items delivered by the Buyer as well as models, drawings, tools etc. manufactured at the Buyer's expense shall be and remain the Buyer's property and shall at all times be marked as such. </w:t>
      </w:r>
    </w:p>
    <w:p w14:paraId="63CDA4AC" w14:textId="77777777" w:rsidR="00C93B91" w:rsidRPr="00791AB9" w:rsidRDefault="00C93B91" w:rsidP="00B9644E">
      <w:pPr>
        <w:rPr>
          <w:lang w:val="en-GB"/>
        </w:rPr>
      </w:pPr>
    </w:p>
    <w:p w14:paraId="63CDA4AD" w14:textId="77777777"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14:paraId="63CDA4AE" w14:textId="77777777" w:rsidR="00B9644E" w:rsidRPr="00791AB9" w:rsidRDefault="00B9644E" w:rsidP="00B9644E">
      <w:pPr>
        <w:rPr>
          <w:lang w:val="en-GB"/>
        </w:rPr>
      </w:pPr>
    </w:p>
    <w:p w14:paraId="63CDA4AF" w14:textId="77777777"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14:paraId="63CDA4B0" w14:textId="77777777"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14:paraId="63CDA4B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14:paraId="63CDA4B2" w14:textId="77777777" w:rsidR="00120D59" w:rsidRPr="00791AB9" w:rsidRDefault="00120D59" w:rsidP="00B9644E">
      <w:pPr>
        <w:rPr>
          <w:lang w:val="en-GB"/>
        </w:rPr>
      </w:pPr>
    </w:p>
    <w:p w14:paraId="63CDA4B3" w14:textId="77777777"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14:paraId="63CDA4B4" w14:textId="77777777" w:rsidR="00120D59" w:rsidRPr="00791AB9" w:rsidRDefault="00120D59" w:rsidP="00B9644E"/>
    <w:p w14:paraId="63CDA4B5" w14:textId="77777777"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14:paraId="63CDA4B6" w14:textId="77777777" w:rsidR="00E64C12" w:rsidRPr="00791AB9" w:rsidRDefault="00E64C12" w:rsidP="00B9644E">
      <w:pPr>
        <w:rPr>
          <w:lang w:val="en-GB"/>
        </w:rPr>
      </w:pPr>
    </w:p>
    <w:p w14:paraId="63CDA4B7" w14:textId="77777777"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14:paraId="63CDA4B8" w14:textId="77777777" w:rsidR="00B9644E" w:rsidRPr="00791AB9" w:rsidRDefault="00B9644E" w:rsidP="00B9644E">
      <w:pPr>
        <w:pStyle w:val="Overskrift2"/>
        <w:rPr>
          <w:lang w:val="en-GB"/>
        </w:rPr>
      </w:pPr>
      <w:bookmarkStart w:id="21" w:name="_Ref335921365"/>
      <w:r w:rsidRPr="00791AB9">
        <w:rPr>
          <w:lang w:val="en-GB"/>
        </w:rPr>
        <w:t>Intellectual Property Rights</w:t>
      </w:r>
      <w:bookmarkEnd w:id="21"/>
    </w:p>
    <w:p w14:paraId="63CDA4B9" w14:textId="77777777"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14:paraId="63CDA4BA" w14:textId="77777777" w:rsidR="008B4891" w:rsidRDefault="008B4891" w:rsidP="008B4891">
      <w:pPr>
        <w:rPr>
          <w:lang w:val="en-GB"/>
        </w:rPr>
      </w:pPr>
    </w:p>
    <w:p w14:paraId="63CDA4BB" w14:textId="77777777"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14:paraId="63CDA4BC" w14:textId="77777777" w:rsidR="00C21DD8" w:rsidRPr="00791AB9" w:rsidRDefault="00C21DD8" w:rsidP="00B9644E">
      <w:pPr>
        <w:rPr>
          <w:lang w:val="en-GB"/>
        </w:rPr>
      </w:pPr>
    </w:p>
    <w:p w14:paraId="63CDA4BD" w14:textId="77777777"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xml:space="preserve">, cf. </w:t>
      </w:r>
      <w:r w:rsidR="00E64C12" w:rsidRPr="00791AB9">
        <w:rPr>
          <w:lang w:val="en-GB"/>
        </w:rPr>
        <w:lastRenderedPageBreak/>
        <w:t>however any limitations in regards to end-user certificates</w:t>
      </w:r>
      <w:r w:rsidRPr="00791AB9">
        <w:rPr>
          <w:lang w:val="en-GB"/>
        </w:rPr>
        <w:t>.</w:t>
      </w:r>
    </w:p>
    <w:bookmarkEnd w:id="22"/>
    <w:p w14:paraId="63CDA4BE" w14:textId="77777777" w:rsidR="00B9644E" w:rsidRPr="00791AB9" w:rsidRDefault="00B9644E" w:rsidP="00B9644E">
      <w:pPr>
        <w:rPr>
          <w:lang w:val="en-GB"/>
        </w:rPr>
      </w:pPr>
    </w:p>
    <w:p w14:paraId="63CDA4BF" w14:textId="77777777"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14:paraId="63CDA4C0" w14:textId="77777777" w:rsidR="00E86EFE" w:rsidRPr="00791AB9" w:rsidRDefault="00E86EFE" w:rsidP="00606D49"/>
    <w:p w14:paraId="63CDA4C1" w14:textId="77777777"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14:paraId="63CDA4C2" w14:textId="77777777" w:rsidR="00E86EFE" w:rsidRPr="00791AB9" w:rsidRDefault="00E86EFE" w:rsidP="00E86EFE">
      <w:pPr>
        <w:rPr>
          <w:bCs/>
          <w:iCs/>
        </w:rPr>
      </w:pPr>
    </w:p>
    <w:p w14:paraId="63CDA4C3" w14:textId="77777777"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14:paraId="63CDA4C4" w14:textId="77777777" w:rsidR="00E86EFE" w:rsidRPr="00791AB9" w:rsidRDefault="00E86EFE" w:rsidP="00E86EFE">
      <w:pPr>
        <w:rPr>
          <w:bCs/>
          <w:lang w:val="en-GB"/>
        </w:rPr>
      </w:pPr>
      <w:r w:rsidRPr="00791AB9">
        <w:t xml:space="preserve"> </w:t>
      </w:r>
    </w:p>
    <w:p w14:paraId="63CDA4C5" w14:textId="77777777"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14:paraId="63CDA4C6" w14:textId="77777777" w:rsidR="00E86EFE" w:rsidRPr="00791AB9" w:rsidRDefault="00E86EFE" w:rsidP="00E86EFE">
      <w:pPr>
        <w:rPr>
          <w:bCs/>
          <w:lang w:val="en-GB"/>
        </w:rPr>
      </w:pPr>
    </w:p>
    <w:p w14:paraId="63CDA4C7" w14:textId="77777777"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14:paraId="63CDA4C8" w14:textId="77777777"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14:paraId="63CDA4C9"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14:paraId="63CDA4CA" w14:textId="77777777" w:rsidR="00B9644E" w:rsidRPr="00791AB9" w:rsidRDefault="00B9644E" w:rsidP="00B9644E">
      <w:pPr>
        <w:rPr>
          <w:lang w:val="en-GB"/>
        </w:rPr>
      </w:pPr>
    </w:p>
    <w:p w14:paraId="63CDA4CB" w14:textId="77777777"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14:paraId="63CDA4CC" w14:textId="77777777" w:rsidR="00CE0BEB" w:rsidRPr="00791AB9" w:rsidRDefault="00CE0BEB" w:rsidP="00B9644E">
      <w:pPr>
        <w:pStyle w:val="Overskrift2"/>
        <w:rPr>
          <w:lang w:val="en-GB"/>
        </w:rPr>
      </w:pPr>
      <w:r w:rsidRPr="00791AB9">
        <w:rPr>
          <w:lang w:val="en-GB"/>
        </w:rPr>
        <w:t>Force Majeure</w:t>
      </w:r>
    </w:p>
    <w:p w14:paraId="63CDA4CD" w14:textId="77777777" w:rsidR="00DD0708" w:rsidRPr="00791AB9" w:rsidRDefault="00DD0708" w:rsidP="00DD0708">
      <w:bookmarkStart w:id="25" w:name="_Toc278199865"/>
      <w:bookmarkStart w:id="26" w:name="_Toc283562436"/>
      <w:bookmarkStart w:id="27" w:name="_Toc322438418"/>
      <w:r w:rsidRPr="00791AB9">
        <w:lastRenderedPageBreak/>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14:paraId="63CDA4CE" w14:textId="77777777" w:rsidR="00DD0708" w:rsidRPr="00791AB9" w:rsidRDefault="00DD0708" w:rsidP="00DD0708"/>
    <w:p w14:paraId="63CDA4CF" w14:textId="77777777" w:rsidR="00DD0708" w:rsidRPr="00791AB9" w:rsidRDefault="00DD0708" w:rsidP="00DD0708">
      <w:r w:rsidRPr="00791AB9">
        <w:t xml:space="preserve">To this effect, force majeure shall be defined as an event </w:t>
      </w:r>
    </w:p>
    <w:p w14:paraId="63CDA4D0" w14:textId="77777777"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14:paraId="63CDA4D1" w14:textId="77777777"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14:paraId="63CDA4D2" w14:textId="77777777"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14:paraId="63CDA4D3" w14:textId="77777777" w:rsidR="00DD0708" w:rsidRPr="00791AB9" w:rsidRDefault="00DD0708" w:rsidP="00A230D3">
      <w:pPr>
        <w:spacing w:before="120"/>
        <w:ind w:left="426" w:hanging="426"/>
      </w:pPr>
    </w:p>
    <w:p w14:paraId="63CDA4D4" w14:textId="77777777"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14:paraId="63CDA4D5" w14:textId="77777777" w:rsidR="00DD0708" w:rsidRPr="00791AB9" w:rsidRDefault="00DD0708" w:rsidP="00DD0708">
      <w:pPr>
        <w:spacing w:before="120"/>
        <w:ind w:left="426" w:hanging="426"/>
      </w:pPr>
    </w:p>
    <w:p w14:paraId="63CDA4D6" w14:textId="77777777"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14:paraId="63CDA4D7" w14:textId="77777777" w:rsidR="00DD0708" w:rsidRPr="00791AB9" w:rsidRDefault="00DD0708" w:rsidP="00DD0708"/>
    <w:p w14:paraId="63CDA4D8" w14:textId="77777777"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14:paraId="63CDA4D9" w14:textId="77777777" w:rsidR="00DD0708" w:rsidRPr="00791AB9" w:rsidRDefault="00DD0708" w:rsidP="00DD0708"/>
    <w:p w14:paraId="63CDA4DA" w14:textId="77777777"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14:paraId="63CDA4DB" w14:textId="77777777" w:rsidR="00DD0708" w:rsidRPr="00791AB9" w:rsidRDefault="00DD0708" w:rsidP="00DD0708"/>
    <w:p w14:paraId="63CDA4DC" w14:textId="77777777" w:rsidR="00DD0708" w:rsidRPr="00791AB9" w:rsidRDefault="00DD0708" w:rsidP="00DD0708">
      <w:r w:rsidRPr="00791AB9">
        <w:t xml:space="preserve">The Supplier shall then be entitled to ask for a renewed assessment of the prices of the parts in question. </w:t>
      </w:r>
    </w:p>
    <w:p w14:paraId="63CDA4DD" w14:textId="77777777" w:rsidR="00DD0708" w:rsidRPr="00791AB9" w:rsidRDefault="00DD0708" w:rsidP="00DD0708"/>
    <w:p w14:paraId="63CDA4DE" w14:textId="77777777" w:rsidR="009A222C" w:rsidRPr="00791AB9" w:rsidRDefault="00DD0708" w:rsidP="00DD0708">
      <w:r w:rsidRPr="00791AB9">
        <w:t>Neither party shall make any claim against the other party based on a force majeure event.</w:t>
      </w:r>
    </w:p>
    <w:bookmarkEnd w:id="25"/>
    <w:bookmarkEnd w:id="26"/>
    <w:bookmarkEnd w:id="27"/>
    <w:p w14:paraId="63CDA4DF" w14:textId="77777777" w:rsidR="00B9644E" w:rsidRPr="00791AB9" w:rsidRDefault="00B9644E" w:rsidP="00B9644E">
      <w:pPr>
        <w:pStyle w:val="Overskrift2"/>
        <w:rPr>
          <w:lang w:val="en-GB"/>
        </w:rPr>
      </w:pPr>
      <w:r w:rsidRPr="00791AB9">
        <w:rPr>
          <w:lang w:val="en-GB"/>
        </w:rPr>
        <w:lastRenderedPageBreak/>
        <w:t>Non-waiver and amendments</w:t>
      </w:r>
    </w:p>
    <w:p w14:paraId="63CDA4E0" w14:textId="77777777"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14:paraId="63CDA4E1" w14:textId="77777777" w:rsidR="00B9644E" w:rsidRPr="00791AB9" w:rsidRDefault="00B9644E" w:rsidP="00B9644E">
      <w:pPr>
        <w:rPr>
          <w:lang w:val="en-GB"/>
        </w:rPr>
      </w:pPr>
    </w:p>
    <w:p w14:paraId="63CDA4E2" w14:textId="77777777"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14:paraId="63CDA4E3" w14:textId="77777777" w:rsidR="00B9644E" w:rsidRPr="00791AB9" w:rsidRDefault="00B9644E" w:rsidP="00B9644E">
      <w:pPr>
        <w:rPr>
          <w:lang w:val="en-GB"/>
        </w:rPr>
      </w:pPr>
    </w:p>
    <w:p w14:paraId="63CDA4E4" w14:textId="77777777"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14:paraId="63CDA4E5" w14:textId="77777777" w:rsidR="00B9644E" w:rsidRPr="00791AB9" w:rsidRDefault="00B9644E" w:rsidP="00B9644E">
      <w:pPr>
        <w:pStyle w:val="Overskrift2"/>
        <w:rPr>
          <w:lang w:val="en-GB"/>
        </w:rPr>
      </w:pPr>
      <w:r w:rsidRPr="00791AB9">
        <w:rPr>
          <w:lang w:val="en-GB"/>
        </w:rPr>
        <w:t>Law and venue</w:t>
      </w:r>
    </w:p>
    <w:p w14:paraId="63CDA4E6" w14:textId="77777777"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14:paraId="63CDA4E7" w14:textId="77777777" w:rsidR="00B9644E" w:rsidRPr="00791AB9" w:rsidRDefault="00B9644E" w:rsidP="00B9644E">
      <w:pPr>
        <w:rPr>
          <w:lang w:val="en-GB"/>
        </w:rPr>
      </w:pPr>
    </w:p>
    <w:p w14:paraId="63CDA4E8" w14:textId="77777777"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14:paraId="63CDA4E9" w14:textId="77777777" w:rsidR="00B9644E" w:rsidRPr="00615145" w:rsidRDefault="00B9644E" w:rsidP="00B9644E">
      <w:pPr>
        <w:rPr>
          <w:lang w:val="en-GB"/>
        </w:rPr>
      </w:pPr>
    </w:p>
    <w:p w14:paraId="63CDA4EA" w14:textId="77777777" w:rsidR="00B9644E" w:rsidRPr="00615145" w:rsidRDefault="00B9644E" w:rsidP="00B9644E">
      <w:pPr>
        <w:rPr>
          <w:lang w:val="en-GB"/>
        </w:rPr>
      </w:pPr>
    </w:p>
    <w:p w14:paraId="63CDA4EB" w14:textId="77777777" w:rsidR="00B9644E" w:rsidRPr="00615145" w:rsidRDefault="00B9644E" w:rsidP="00B9644E">
      <w:pPr>
        <w:rPr>
          <w:lang w:val="en-GB"/>
        </w:rPr>
      </w:pPr>
    </w:p>
    <w:p w14:paraId="63CDA4EC" w14:textId="77777777"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D7182" w14:textId="77777777" w:rsidR="00F80BF3" w:rsidRDefault="00F80BF3" w:rsidP="00DA3F3D">
      <w:pPr>
        <w:spacing w:line="240" w:lineRule="auto"/>
      </w:pPr>
      <w:r>
        <w:separator/>
      </w:r>
    </w:p>
  </w:endnote>
  <w:endnote w:type="continuationSeparator" w:id="0">
    <w:p w14:paraId="6A186CFB" w14:textId="77777777" w:rsidR="00F80BF3" w:rsidRDefault="00F80BF3"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7" w14:textId="77777777"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420ED1">
          <w:rPr>
            <w:noProof/>
          </w:rPr>
          <w:t>2</w:t>
        </w:r>
        <w:r w:rsidR="00993BC5">
          <w:rPr>
            <w:noProof/>
          </w:rPr>
          <w:fldChar w:fldCharType="end"/>
        </w:r>
      </w:sdtContent>
    </w:sdt>
  </w:p>
  <w:p w14:paraId="63CDA4F8" w14:textId="77777777" w:rsidR="00E11186" w:rsidRPr="0080027E" w:rsidRDefault="00E11186" w:rsidP="00C81557">
    <w:pPr>
      <w:pStyle w:val="Sidefod"/>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505" w14:textId="77777777"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420ED1">
          <w:rPr>
            <w:noProof/>
          </w:rPr>
          <w:t>1</w:t>
        </w:r>
        <w:r w:rsidR="00993BC5">
          <w:rPr>
            <w:noProof/>
          </w:rPr>
          <w:fldChar w:fldCharType="end"/>
        </w:r>
      </w:sdtContent>
    </w:sdt>
  </w:p>
  <w:p w14:paraId="63CDA506" w14:textId="77777777" w:rsidR="00E11186" w:rsidRDefault="00E111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866C8" w14:textId="77777777" w:rsidR="00F80BF3" w:rsidRDefault="00F80BF3" w:rsidP="00DA3F3D">
      <w:pPr>
        <w:spacing w:line="240" w:lineRule="auto"/>
      </w:pPr>
      <w:r>
        <w:separator/>
      </w:r>
    </w:p>
  </w:footnote>
  <w:footnote w:type="continuationSeparator" w:id="0">
    <w:p w14:paraId="17CE79F5" w14:textId="77777777" w:rsidR="00F80BF3" w:rsidRDefault="00F80BF3"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1" w14:textId="77777777" w:rsidR="00E11186" w:rsidRDefault="00420ED1">
    <w:pPr>
      <w:pStyle w:val="Sidehoved"/>
    </w:pPr>
    <w:r>
      <w:rPr>
        <w:noProof/>
      </w:rPr>
      <w:pict w14:anchorId="63CDA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E11186" w14:paraId="63CDA4F5" w14:textId="77777777" w:rsidTr="00E4549A">
      <w:tc>
        <w:tcPr>
          <w:tcW w:w="2088" w:type="dxa"/>
        </w:tcPr>
        <w:p w14:paraId="63CDA4F2" w14:textId="77777777" w:rsidR="00E11186" w:rsidRDefault="00E11186" w:rsidP="00E4549A"/>
      </w:tc>
      <w:tc>
        <w:tcPr>
          <w:tcW w:w="5400" w:type="dxa"/>
        </w:tcPr>
        <w:p w14:paraId="63CDA4F3" w14:textId="77777777" w:rsidR="00E11186" w:rsidRDefault="00E11186" w:rsidP="00E4549A">
          <w:pPr>
            <w:jc w:val="center"/>
          </w:pPr>
        </w:p>
      </w:tc>
      <w:tc>
        <w:tcPr>
          <w:tcW w:w="1984" w:type="dxa"/>
        </w:tcPr>
        <w:p w14:paraId="63CDA4F4" w14:textId="77777777" w:rsidR="00E11186" w:rsidRDefault="00E11186" w:rsidP="00E4549A">
          <w:pPr>
            <w:jc w:val="right"/>
          </w:pPr>
        </w:p>
      </w:tc>
    </w:tr>
  </w:tbl>
  <w:p w14:paraId="63CDA4F6" w14:textId="77777777" w:rsidR="00E11186" w:rsidRDefault="00420ED1">
    <w:pPr>
      <w:pStyle w:val="Sidehoved"/>
    </w:pPr>
    <w:r>
      <w:rPr>
        <w:noProof/>
      </w:rPr>
      <w:pict w14:anchorId="63CDA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E11186" w14:paraId="63CDA503" w14:textId="77777777" w:rsidTr="00E4549A">
      <w:tc>
        <w:tcPr>
          <w:tcW w:w="2088" w:type="dxa"/>
        </w:tcPr>
        <w:p w14:paraId="63CDA4F9" w14:textId="48F554B6"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14:anchorId="06BFB02C" wp14:editId="10B170C9">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63CDA500" w14:textId="77777777" w:rsidR="00E11186" w:rsidRPr="00386C37" w:rsidRDefault="00E11186" w:rsidP="00E4549A">
          <w:pPr>
            <w:jc w:val="center"/>
            <w:rPr>
              <w:b/>
              <w:sz w:val="24"/>
            </w:rPr>
          </w:pPr>
        </w:p>
        <w:p w14:paraId="63CDA501" w14:textId="77777777" w:rsidR="00E11186" w:rsidRDefault="00E11186" w:rsidP="00E4549A">
          <w:pPr>
            <w:jc w:val="center"/>
          </w:pPr>
        </w:p>
      </w:tc>
      <w:tc>
        <w:tcPr>
          <w:tcW w:w="1984" w:type="dxa"/>
        </w:tcPr>
        <w:p w14:paraId="63CDA502" w14:textId="77777777" w:rsidR="00E11186" w:rsidRDefault="00E11186" w:rsidP="00E4549A">
          <w:pPr>
            <w:jc w:val="right"/>
          </w:pPr>
        </w:p>
      </w:tc>
    </w:tr>
  </w:tbl>
  <w:p w14:paraId="63CDA504" w14:textId="77777777" w:rsidR="00E11186" w:rsidRDefault="00420ED1">
    <w:pPr>
      <w:pStyle w:val="Sidehoved"/>
    </w:pPr>
    <w:r>
      <w:rPr>
        <w:noProof/>
      </w:rPr>
      <w:pict w14:anchorId="63CDA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63C8958"/>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A78085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5">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11">
    <w:nsid w:val="6DD8432A"/>
    <w:multiLevelType w:val="hybridMultilevel"/>
    <w:tmpl w:val="B20ACABA"/>
    <w:lvl w:ilvl="0" w:tplc="367A490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9"/>
  </w:num>
  <w:num w:numId="8">
    <w:abstractNumId w:val="2"/>
  </w:num>
  <w:num w:numId="9">
    <w:abstractNumId w:val="10"/>
  </w:num>
  <w:num w:numId="10">
    <w:abstractNumId w:val="4"/>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25B3"/>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6C89"/>
    <w:rsid w:val="003D7AB3"/>
    <w:rsid w:val="004033A2"/>
    <w:rsid w:val="00420740"/>
    <w:rsid w:val="00420ED1"/>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315D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188B"/>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0019"/>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0BF3"/>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C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3D6C8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D6C89"/>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D6C89"/>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D6C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D6C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3D6C89"/>
    <w:pPr>
      <w:numPr>
        <w:numId w:val="11"/>
      </w:numPr>
      <w:contextualSpacing/>
    </w:pPr>
  </w:style>
  <w:style w:type="paragraph" w:styleId="Opstilling-talellerbogst">
    <w:name w:val="List Number"/>
    <w:basedOn w:val="Normal"/>
    <w:uiPriority w:val="99"/>
    <w:semiHidden/>
    <w:unhideWhenUsed/>
    <w:rsid w:val="003D6C89"/>
    <w:pPr>
      <w:numPr>
        <w:numId w:val="12"/>
      </w:numPr>
      <w:contextualSpacing/>
    </w:pPr>
  </w:style>
  <w:style w:type="paragraph" w:styleId="Titel">
    <w:name w:val="Title"/>
    <w:basedOn w:val="Normal"/>
    <w:next w:val="Normal"/>
    <w:link w:val="TitelTegn"/>
    <w:uiPriority w:val="10"/>
    <w:qFormat/>
    <w:rsid w:val="003D6C8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6C89"/>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3D6C89"/>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3D6C89"/>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3D6C89"/>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3D6C89"/>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3D6C89"/>
    <w:rPr>
      <w:rFonts w:asciiTheme="majorHAnsi" w:eastAsiaTheme="majorEastAsia" w:hAnsiTheme="majorHAnsi" w:cstheme="majorBidi"/>
      <w:i/>
      <w:iCs/>
      <w:color w:val="272727" w:themeColor="text1" w:themeTint="D8"/>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3D6C8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D6C89"/>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D6C89"/>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D6C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D6C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3D6C89"/>
    <w:pPr>
      <w:numPr>
        <w:numId w:val="11"/>
      </w:numPr>
      <w:contextualSpacing/>
    </w:pPr>
  </w:style>
  <w:style w:type="paragraph" w:styleId="Opstilling-talellerbogst">
    <w:name w:val="List Number"/>
    <w:basedOn w:val="Normal"/>
    <w:uiPriority w:val="99"/>
    <w:semiHidden/>
    <w:unhideWhenUsed/>
    <w:rsid w:val="003D6C89"/>
    <w:pPr>
      <w:numPr>
        <w:numId w:val="12"/>
      </w:numPr>
      <w:contextualSpacing/>
    </w:pPr>
  </w:style>
  <w:style w:type="paragraph" w:styleId="Titel">
    <w:name w:val="Title"/>
    <w:basedOn w:val="Normal"/>
    <w:next w:val="Normal"/>
    <w:link w:val="TitelTegn"/>
    <w:uiPriority w:val="10"/>
    <w:qFormat/>
    <w:rsid w:val="003D6C8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6C89"/>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3D6C89"/>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3D6C89"/>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3D6C89"/>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3D6C89"/>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3D6C89"/>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MI-KTP-TECHDOC@MIL.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2a7b62-18c2-4926-a891-55c0c57152a8"/>
    <ds:schemaRef ds:uri="http://www.w3.org/XML/1998/namespace"/>
    <ds:schemaRef ds:uri="http://purl.org/dc/dcmitype/"/>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EB7C00-4DD3-4C10-A997-1713A232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2CBB75BA</Template>
  <TotalTime>0</TotalTime>
  <Pages>9</Pages>
  <Words>5661</Words>
  <Characters>34537</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2020-01-21T12:24:00Z</dcterms:created>
  <dcterms:modified xsi:type="dcterms:W3CDTF">2020-01-21T12:24:00Z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