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77777777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4D3A29">
        <w:rPr>
          <w:sz w:val="20"/>
          <w:szCs w:val="20"/>
        </w:rPr>
        <w:t>6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4D3A29">
        <w:rPr>
          <w:b/>
          <w:sz w:val="24"/>
          <w:szCs w:val="24"/>
        </w:rPr>
        <w:t>Qualification requirement</w:t>
      </w:r>
    </w:p>
    <w:p w14:paraId="00B539D7" w14:textId="681F6A21" w:rsidR="00203DEA" w:rsidRDefault="00203DEA" w:rsidP="00CF0535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9C32829" w14:textId="43789352" w:rsidR="009271C8" w:rsidRPr="00645B92" w:rsidRDefault="00203DEA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 w:rsidRPr="00203DEA">
        <w:rPr>
          <w:b/>
          <w:color w:val="808080" w:themeColor="background1" w:themeShade="80"/>
          <w:sz w:val="24"/>
          <w:szCs w:val="24"/>
        </w:rPr>
        <w:t>H</w:t>
      </w:r>
      <w:r w:rsidR="00645B92" w:rsidRPr="00645B92">
        <w:rPr>
          <w:b/>
          <w:color w:val="808080" w:themeColor="background1" w:themeShade="80"/>
          <w:sz w:val="24"/>
          <w:szCs w:val="24"/>
        </w:rPr>
        <w:t>AMLET; PRINCE OF DENMARK</w:t>
      </w:r>
    </w:p>
    <w:p w14:paraId="450A7FDA" w14:textId="7A3F4F74" w:rsidR="00203DEA" w:rsidRDefault="004D3A29" w:rsidP="004D3A29">
      <w:pPr>
        <w:pStyle w:val="Brdtekst"/>
        <w:ind w:left="0" w:right="169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77FF3340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194B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" strokecolor="#4579b8 [3044]"/>
            </w:pict>
          </mc:Fallback>
        </mc:AlternateContent>
      </w:r>
      <w:r w:rsidR="00645B92" w:rsidRPr="009271C8">
        <w:rPr>
          <w:b/>
          <w:sz w:val="20"/>
          <w:szCs w:val="20"/>
        </w:rPr>
        <w:t>Reference no.: 111163</w:t>
      </w:r>
      <w:r w:rsidR="00203DEA">
        <w:rPr>
          <w:b/>
          <w:sz w:val="20"/>
          <w:szCs w:val="20"/>
        </w:rPr>
        <w:br/>
      </w:r>
      <w:r w:rsidR="00203DEA">
        <w:rPr>
          <w:b/>
          <w:sz w:val="20"/>
          <w:szCs w:val="20"/>
        </w:rPr>
        <w:br/>
      </w:r>
      <w:bookmarkEnd w:id="0"/>
      <w:r w:rsidR="00203DEA">
        <w:rPr>
          <w:b/>
          <w:sz w:val="20"/>
          <w:szCs w:val="20"/>
        </w:rPr>
        <w:br/>
      </w:r>
      <w:r w:rsidR="00203DEA">
        <w:rPr>
          <w:b/>
          <w:sz w:val="20"/>
          <w:szCs w:val="20"/>
        </w:rPr>
        <w:br/>
      </w:r>
    </w:p>
    <w:p w14:paraId="66338006" w14:textId="60C3640F" w:rsidR="004D3A29" w:rsidRDefault="004D3A29" w:rsidP="00203DEA">
      <w:pPr>
        <w:pStyle w:val="Brdtekst"/>
        <w:ind w:right="1690"/>
        <w:rPr>
          <w:b/>
          <w:sz w:val="20"/>
          <w:szCs w:val="20"/>
        </w:rPr>
      </w:pPr>
    </w:p>
    <w:p w14:paraId="42E27348" w14:textId="59B441F6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trnderer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3DE4AD6B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bookmarkStart w:id="1" w:name="_GoBack"/>
      <w:bookmarkEnd w:id="1"/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FC70A" w16cid:durableId="2071F566"/>
  <w16cid:commentId w16cid:paraId="77B6B617" w16cid:durableId="2071F30B"/>
  <w16cid:commentId w16cid:paraId="7F5384AF" w16cid:durableId="20729930"/>
  <w16cid:commentId w16cid:paraId="6A44188C" w16cid:durableId="2072920D"/>
  <w16cid:commentId w16cid:paraId="240CFACA" w16cid:durableId="20729041"/>
  <w16cid:commentId w16cid:paraId="35A7488B" w16cid:durableId="20729CC2"/>
  <w16cid:commentId w16cid:paraId="7D37A504" w16cid:durableId="20729A5C"/>
  <w16cid:commentId w16cid:paraId="7163E83A" w16cid:durableId="207203F0"/>
  <w16cid:commentId w16cid:paraId="239FE27F" w16cid:durableId="2072044F"/>
  <w16cid:commentId w16cid:paraId="53998DB5" w16cid:durableId="20729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F79C1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FB7"/>
    <w:rsid w:val="00AD7813"/>
    <w:rsid w:val="00AE5D19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B1E-E748-4ED7-9D1C-C5C06C1E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576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14</cp:revision>
  <cp:lastPrinted>2020-01-17T12:47:00Z</cp:lastPrinted>
  <dcterms:created xsi:type="dcterms:W3CDTF">2020-01-16T12:02:00Z</dcterms:created>
  <dcterms:modified xsi:type="dcterms:W3CDTF">2020-01-20T14:03:00Z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