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F319DA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F319DA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F319DA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ab/>
      </w:r>
    </w:p>
    <w:p w:rsidR="00554DDE" w:rsidRPr="00F319DA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F319D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3F1EC0" w:rsidRPr="00F319DA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F319DA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</w:p>
    <w:p w:rsidR="00554DDE" w:rsidRPr="00F319DA" w:rsidRDefault="003F1EC0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F319DA">
        <w:rPr>
          <w:rFonts w:ascii="Arial" w:hAnsi="Arial" w:cs="Arial"/>
          <w:b/>
          <w:color w:val="0070C0"/>
          <w:sz w:val="48"/>
          <w:szCs w:val="48"/>
          <w:lang w:val="en-GB"/>
        </w:rPr>
        <w:t>Spare Parts for Combat Vehicle Crew Helmets</w:t>
      </w:r>
    </w:p>
    <w:p w:rsidR="006E3D4E" w:rsidRPr="00F319DA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F319DA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F319DA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F319DA" w:rsidRDefault="00576617">
      <w:p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F319DA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F319DA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3F1EC0" w:rsidRPr="00F319DA" w:rsidRDefault="003F1EC0" w:rsidP="003F1EC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 w:rsidR="007E1C33">
        <w:rPr>
          <w:rFonts w:ascii="Arial" w:hAnsi="Arial" w:cs="Arial"/>
          <w:sz w:val="24"/>
          <w:szCs w:val="24"/>
          <w:lang w:val="en-GB"/>
        </w:rPr>
        <w:t>one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 type of spare parts for </w:t>
      </w:r>
      <w:r w:rsidR="006B1C80" w:rsidRPr="00F319DA">
        <w:rPr>
          <w:rFonts w:ascii="Arial" w:hAnsi="Arial" w:cs="Arial"/>
          <w:sz w:val="24"/>
          <w:szCs w:val="24"/>
          <w:lang w:val="en-GB"/>
        </w:rPr>
        <w:t xml:space="preserve">installation in the existing 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combat vehicle crew helmets used in the Danish </w:t>
      </w:r>
      <w:r w:rsidR="00F319DA" w:rsidRPr="00F319DA">
        <w:rPr>
          <w:rFonts w:ascii="Arial" w:hAnsi="Arial" w:cs="Arial"/>
          <w:sz w:val="24"/>
          <w:szCs w:val="24"/>
          <w:lang w:val="en-GB"/>
        </w:rPr>
        <w:t>D</w:t>
      </w:r>
      <w:r w:rsidR="00F319DA" w:rsidRPr="00F319DA">
        <w:rPr>
          <w:rFonts w:ascii="Arial" w:hAnsi="Arial" w:cs="Arial"/>
          <w:sz w:val="24"/>
          <w:szCs w:val="24"/>
          <w:lang w:val="en-GB"/>
        </w:rPr>
        <w:t>e</w:t>
      </w:r>
      <w:r w:rsidR="00F319DA" w:rsidRPr="00F319DA">
        <w:rPr>
          <w:rFonts w:ascii="Arial" w:hAnsi="Arial" w:cs="Arial"/>
          <w:sz w:val="24"/>
          <w:szCs w:val="24"/>
          <w:lang w:val="en-GB"/>
        </w:rPr>
        <w:t>fence</w:t>
      </w:r>
      <w:r w:rsidRPr="00F319DA">
        <w:rPr>
          <w:rFonts w:ascii="Arial" w:hAnsi="Arial" w:cs="Arial"/>
          <w:sz w:val="24"/>
          <w:szCs w:val="24"/>
          <w:lang w:val="en-GB"/>
        </w:rPr>
        <w:t>.</w:t>
      </w:r>
      <w:r w:rsidR="006B1C80" w:rsidRPr="00F319DA">
        <w:rPr>
          <w:rFonts w:ascii="Arial" w:hAnsi="Arial" w:cs="Arial"/>
          <w:sz w:val="24"/>
          <w:szCs w:val="24"/>
          <w:lang w:val="en-GB"/>
        </w:rPr>
        <w:t xml:space="preserve"> The advertisement concerns 500 ear pad cushion pairs. </w:t>
      </w:r>
    </w:p>
    <w:p w:rsidR="00B51208" w:rsidRPr="00F319DA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F319DA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F319DA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F319DA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F319DA">
        <w:rPr>
          <w:rFonts w:ascii="Arial" w:hAnsi="Arial" w:cs="Arial"/>
          <w:sz w:val="24"/>
          <w:szCs w:val="24"/>
          <w:lang w:val="en-GB"/>
        </w:rPr>
        <w:t>requirement specification</w:t>
      </w:r>
      <w:r w:rsidRPr="00F319DA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F319DA">
        <w:rPr>
          <w:rFonts w:ascii="Arial" w:hAnsi="Arial" w:cs="Arial"/>
          <w:sz w:val="24"/>
          <w:szCs w:val="24"/>
          <w:lang w:val="en-GB"/>
        </w:rPr>
        <w:t>4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F319DA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F319DA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F319DA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F319DA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F319DA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F319DA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F319DA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F319DA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F319DA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F319DA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F319DA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F319DA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F319DA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F319DA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F319DA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F319DA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F319DA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F319DA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F319DA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F319DA">
        <w:rPr>
          <w:rFonts w:ascii="Arial" w:hAnsi="Arial" w:cs="Arial"/>
          <w:sz w:val="24"/>
          <w:szCs w:val="24"/>
          <w:lang w:val="en-GB"/>
        </w:rPr>
        <w:t>)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F319DA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F319DA">
        <w:rPr>
          <w:rFonts w:ascii="Arial" w:hAnsi="Arial" w:cs="Arial"/>
          <w:sz w:val="24"/>
          <w:szCs w:val="24"/>
          <w:lang w:val="en-GB"/>
        </w:rPr>
        <w:t>e</w:t>
      </w:r>
      <w:r w:rsidR="00204BD1" w:rsidRPr="00F319DA">
        <w:rPr>
          <w:rFonts w:ascii="Arial" w:hAnsi="Arial" w:cs="Arial"/>
          <w:sz w:val="24"/>
          <w:szCs w:val="24"/>
          <w:lang w:val="en-GB"/>
        </w:rPr>
        <w:t>ment</w:t>
      </w:r>
      <w:r w:rsidR="00C751AD" w:rsidRPr="00F319DA">
        <w:rPr>
          <w:rFonts w:ascii="Arial" w:hAnsi="Arial" w:cs="Arial"/>
          <w:sz w:val="24"/>
          <w:szCs w:val="24"/>
          <w:lang w:val="en-GB"/>
        </w:rPr>
        <w:t>s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F319DA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F319DA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F319DA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3F1EC0" w:rsidRPr="00F319DA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F319DA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F319DA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F319DA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F319DA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F319DA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F319DA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F319DA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F319DA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F319DA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F319DA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F319DA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F319DA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F319DA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F319DA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F319DA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F319DA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F319DA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F319DA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F319DA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F319DA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F319DA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F1EC0" w:rsidRPr="00F319DA" w:rsidTr="003F1EC0">
        <w:trPr>
          <w:trHeight w:val="1005"/>
        </w:trPr>
        <w:tc>
          <w:tcPr>
            <w:tcW w:w="526" w:type="dxa"/>
            <w:vAlign w:val="center"/>
          </w:tcPr>
          <w:p w:rsidR="003F1EC0" w:rsidRPr="00F319DA" w:rsidRDefault="003F1EC0" w:rsidP="003F1EC0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vAlign w:val="center"/>
          </w:tcPr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GB"/>
              </w:rPr>
            </w:pPr>
            <w:r w:rsidRPr="00F319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Vendor must supply the following: </w:t>
            </w:r>
          </w:p>
        </w:tc>
        <w:tc>
          <w:tcPr>
            <w:tcW w:w="1101" w:type="dxa"/>
            <w:vAlign w:val="center"/>
          </w:tcPr>
          <w:p w:rsidR="003F1EC0" w:rsidRPr="00F319DA" w:rsidRDefault="003F1EC0" w:rsidP="003F1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3F1EC0" w:rsidRPr="00F319DA" w:rsidRDefault="003F1EC0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F1EC0" w:rsidRPr="00F319DA" w:rsidTr="00345517">
        <w:trPr>
          <w:trHeight w:val="1175"/>
        </w:trPr>
        <w:tc>
          <w:tcPr>
            <w:tcW w:w="526" w:type="dxa"/>
            <w:vAlign w:val="center"/>
          </w:tcPr>
          <w:p w:rsidR="003F1EC0" w:rsidRPr="00F319DA" w:rsidRDefault="00FE0FC7" w:rsidP="003F1EC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vAlign w:val="center"/>
          </w:tcPr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Ear Pad Cushion Pair: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br/>
            </w:r>
          </w:p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proofErr w:type="spellStart"/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Nato</w:t>
            </w:r>
            <w:proofErr w:type="spellEnd"/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Stock Number 5965014185535 and Product Number 287033-001 or equiv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a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lent. </w:t>
            </w:r>
          </w:p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101" w:type="dxa"/>
            <w:vAlign w:val="center"/>
          </w:tcPr>
          <w:p w:rsidR="003F1EC0" w:rsidRPr="00F319DA" w:rsidRDefault="003F1EC0" w:rsidP="003F1EC0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:rsidR="003F1EC0" w:rsidRPr="00F319DA" w:rsidRDefault="003F1EC0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sz w:val="24"/>
                <w:szCs w:val="24"/>
                <w:lang w:val="en-GB"/>
              </w:rPr>
              <w:t>500 EA</w:t>
            </w:r>
          </w:p>
        </w:tc>
        <w:tc>
          <w:tcPr>
            <w:tcW w:w="70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3F1EC0" w:rsidRPr="00F319DA" w:rsidRDefault="003F1EC0" w:rsidP="003F1EC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01280" w:rsidRPr="00F319DA" w:rsidRDefault="00A01280" w:rsidP="00271A58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A01280" w:rsidRPr="00F319DA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F3" w:rsidRDefault="003100F3" w:rsidP="00554DDE">
      <w:pPr>
        <w:spacing w:after="0" w:line="240" w:lineRule="auto"/>
      </w:pPr>
      <w:r>
        <w:separator/>
      </w:r>
    </w:p>
  </w:endnote>
  <w:endnote w:type="continuationSeparator" w:id="0">
    <w:p w:rsidR="003100F3" w:rsidRDefault="003100F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2C1E3F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2C1E3F" w:rsidRPr="00576617">
              <w:rPr>
                <w:sz w:val="20"/>
                <w:szCs w:val="20"/>
              </w:rPr>
              <w:fldChar w:fldCharType="separate"/>
            </w:r>
            <w:r w:rsidR="00A922EA">
              <w:rPr>
                <w:noProof/>
                <w:sz w:val="20"/>
                <w:szCs w:val="20"/>
              </w:rPr>
              <w:t>3</w:t>
            </w:r>
            <w:r w:rsidR="002C1E3F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2C1E3F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2C1E3F" w:rsidRPr="00576617">
              <w:rPr>
                <w:sz w:val="20"/>
                <w:szCs w:val="20"/>
              </w:rPr>
              <w:fldChar w:fldCharType="separate"/>
            </w:r>
            <w:r w:rsidR="00A922EA">
              <w:rPr>
                <w:noProof/>
                <w:sz w:val="20"/>
                <w:szCs w:val="20"/>
              </w:rPr>
              <w:t>3</w:t>
            </w:r>
            <w:r w:rsidR="002C1E3F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F3" w:rsidRDefault="003100F3" w:rsidP="00554DDE">
      <w:pPr>
        <w:spacing w:after="0" w:line="240" w:lineRule="auto"/>
      </w:pPr>
      <w:r>
        <w:separator/>
      </w:r>
    </w:p>
  </w:footnote>
  <w:footnote w:type="continuationSeparator" w:id="0">
    <w:p w:rsidR="003100F3" w:rsidRDefault="003100F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1E3F"/>
    <w:rsid w:val="002D0A4F"/>
    <w:rsid w:val="002D0B50"/>
    <w:rsid w:val="002F2E3A"/>
    <w:rsid w:val="003100F3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3F1EC0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1C8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E1C33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8117D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922EA"/>
    <w:rsid w:val="00AA41E5"/>
    <w:rsid w:val="00AD4BD3"/>
    <w:rsid w:val="00B06FAE"/>
    <w:rsid w:val="00B11CC5"/>
    <w:rsid w:val="00B22CBD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898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9DA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0FC7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8DEC05-1F67-486D-A696-609CFB6CA9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20F32C07-613A-4A29-82C1-C026FE9D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2019-11-13T07:31:00Z</dcterms:created>
  <dcterms:modified xsi:type="dcterms:W3CDTF">2019-11-13T07:31:00Z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