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31EDFBDA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F55247">
        <w:rPr>
          <w:sz w:val="20"/>
          <w:szCs w:val="20"/>
          <w:lang w:val="da-DK"/>
        </w:rPr>
        <w:t>Helsingør Kommunes</w:t>
      </w:r>
      <w:r>
        <w:rPr>
          <w:sz w:val="20"/>
          <w:szCs w:val="20"/>
          <w:lang w:val="da-DK"/>
        </w:rPr>
        <w:t xml:space="preserve"> udbud af </w:t>
      </w:r>
      <w:r w:rsidR="00F55247">
        <w:rPr>
          <w:sz w:val="20"/>
          <w:szCs w:val="20"/>
          <w:lang w:val="da-DK"/>
        </w:rPr>
        <w:t>kommunens daglige bankforretninger</w:t>
      </w:r>
      <w:r>
        <w:rPr>
          <w:sz w:val="20"/>
          <w:szCs w:val="20"/>
          <w:lang w:val="da-DK"/>
        </w:rPr>
        <w:t xml:space="preserve">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</w:t>
      </w:r>
      <w:r w:rsidR="00247BC3">
        <w:rPr>
          <w:sz w:val="20"/>
          <w:szCs w:val="20"/>
          <w:lang w:val="da-DK"/>
        </w:rPr>
        <w:t xml:space="preserve">de (jævnfør udbudsmaterialets punkt </w:t>
      </w:r>
      <w:r w:rsidR="00B159A4">
        <w:rPr>
          <w:sz w:val="20"/>
          <w:szCs w:val="20"/>
          <w:lang w:val="da-DK"/>
        </w:rPr>
        <w:t>1</w:t>
      </w:r>
      <w:r w:rsidR="00F55247">
        <w:rPr>
          <w:sz w:val="20"/>
          <w:szCs w:val="20"/>
          <w:lang w:val="da-DK"/>
        </w:rPr>
        <w:t>.16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proofErr w:type="gramStart"/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administrations</w:t>
            </w:r>
            <w:proofErr w:type="gramEnd"/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7416956B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proofErr w:type="gramStart"/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proofErr w:type="gramEnd"/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proofErr w:type="gramEnd"/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</w:t>
            </w:r>
            <w:proofErr w:type="spell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self-cleaning</w:t>
            </w:r>
            <w:proofErr w:type="spell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sine forpligtelser </w:t>
            </w:r>
            <w:proofErr w:type="spellStart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vedrø-rende</w:t>
            </w:r>
            <w:proofErr w:type="spellEnd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</w:t>
            </w:r>
            <w:proofErr w:type="gramStart"/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proofErr w:type="gramEnd"/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proofErr w:type="gramStart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proofErr w:type="gramEnd"/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c1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c2)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c1)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c2)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</w:t>
            </w:r>
            <w:proofErr w:type="gramStart"/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proofErr w:type="gramEnd"/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</w:t>
            </w:r>
            <w:proofErr w:type="spellStart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self-cleaning</w:t>
            </w:r>
            <w:proofErr w:type="spellEnd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302AFD0D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27589B">
        <w:rPr>
          <w:rFonts w:ascii="Times New Roman" w:eastAsia="Times New Roman" w:hAnsi="Times New Roman" w:cs="Times New Roman"/>
          <w:sz w:val="19"/>
          <w:szCs w:val="19"/>
          <w:lang w:val="da-DK"/>
        </w:rPr>
        <w:t>Helsin</w:t>
      </w:r>
      <w:r w:rsidR="00CA697F">
        <w:rPr>
          <w:rFonts w:ascii="Times New Roman" w:eastAsia="Times New Roman" w:hAnsi="Times New Roman" w:cs="Times New Roman"/>
          <w:sz w:val="19"/>
          <w:szCs w:val="19"/>
          <w:lang w:val="da-DK"/>
        </w:rPr>
        <w:t>gør Kommunes</w:t>
      </w:r>
      <w:bookmarkStart w:id="0" w:name="_GoBack"/>
      <w:bookmarkEnd w:id="0"/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1467" w14:textId="77777777" w:rsidR="009041C9" w:rsidRDefault="009041C9">
      <w:pPr>
        <w:spacing w:after="0" w:line="240" w:lineRule="auto"/>
      </w:pPr>
      <w:r>
        <w:separator/>
      </w:r>
    </w:p>
  </w:endnote>
  <w:endnote w:type="continuationSeparator" w:id="0">
    <w:p w14:paraId="47900892" w14:textId="77777777" w:rsidR="009041C9" w:rsidRDefault="0090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4C3F" w14:textId="77777777" w:rsidR="009041C9" w:rsidRDefault="009041C9">
      <w:pPr>
        <w:spacing w:after="0" w:line="240" w:lineRule="auto"/>
      </w:pPr>
      <w:r>
        <w:separator/>
      </w:r>
    </w:p>
  </w:footnote>
  <w:footnote w:type="continuationSeparator" w:id="0">
    <w:p w14:paraId="3A29221B" w14:textId="77777777" w:rsidR="009041C9" w:rsidRDefault="0090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307D4"/>
    <w:rsid w:val="002230A4"/>
    <w:rsid w:val="00247ABD"/>
    <w:rsid w:val="00247BC3"/>
    <w:rsid w:val="00250487"/>
    <w:rsid w:val="0027589B"/>
    <w:rsid w:val="00297EDA"/>
    <w:rsid w:val="002A7A4B"/>
    <w:rsid w:val="002E098C"/>
    <w:rsid w:val="002E0E07"/>
    <w:rsid w:val="0030505C"/>
    <w:rsid w:val="003150C5"/>
    <w:rsid w:val="00332473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538B0"/>
    <w:rsid w:val="0068486B"/>
    <w:rsid w:val="006E276B"/>
    <w:rsid w:val="007005CC"/>
    <w:rsid w:val="00706B42"/>
    <w:rsid w:val="00713023"/>
    <w:rsid w:val="00722383"/>
    <w:rsid w:val="00754039"/>
    <w:rsid w:val="00754C12"/>
    <w:rsid w:val="0075575B"/>
    <w:rsid w:val="00757A07"/>
    <w:rsid w:val="00760D7C"/>
    <w:rsid w:val="007D0F63"/>
    <w:rsid w:val="0085734A"/>
    <w:rsid w:val="00866B89"/>
    <w:rsid w:val="00895368"/>
    <w:rsid w:val="008C7AFD"/>
    <w:rsid w:val="008E444E"/>
    <w:rsid w:val="009041C9"/>
    <w:rsid w:val="00927A2B"/>
    <w:rsid w:val="00931816"/>
    <w:rsid w:val="009434BD"/>
    <w:rsid w:val="00985452"/>
    <w:rsid w:val="009A4070"/>
    <w:rsid w:val="009E1088"/>
    <w:rsid w:val="009E3F5B"/>
    <w:rsid w:val="009E5B7E"/>
    <w:rsid w:val="00A02C22"/>
    <w:rsid w:val="00A214E5"/>
    <w:rsid w:val="00A57200"/>
    <w:rsid w:val="00AC38E3"/>
    <w:rsid w:val="00AF140C"/>
    <w:rsid w:val="00B159A4"/>
    <w:rsid w:val="00B20D64"/>
    <w:rsid w:val="00B3003F"/>
    <w:rsid w:val="00B363D5"/>
    <w:rsid w:val="00B43835"/>
    <w:rsid w:val="00B53C6D"/>
    <w:rsid w:val="00B72B49"/>
    <w:rsid w:val="00C23944"/>
    <w:rsid w:val="00C647CC"/>
    <w:rsid w:val="00C910F8"/>
    <w:rsid w:val="00CA697F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52A7"/>
    <w:rsid w:val="00E26425"/>
    <w:rsid w:val="00E359DF"/>
    <w:rsid w:val="00F2718C"/>
    <w:rsid w:val="00F43AF9"/>
    <w:rsid w:val="00F55247"/>
    <w:rsid w:val="00F87C91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FB384-2F30-4494-9935-92D4A8C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Udelukkelsesgrunde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Udelukkelsesgrunde</dc:title>
  <dc:creator>Lundgreens Capital</dc:creator>
  <cp:lastModifiedBy>Peter Lundgreen</cp:lastModifiedBy>
  <cp:revision>2</cp:revision>
  <cp:lastPrinted>2016-02-01T16:12:00Z</cp:lastPrinted>
  <dcterms:created xsi:type="dcterms:W3CDTF">2019-03-26T21:01:00Z</dcterms:created>
  <dcterms:modified xsi:type="dcterms:W3CDTF">2019-03-26T21:01:00Z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