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841C1">
        <w:rPr>
          <w:rFonts w:ascii="Arial" w:hAnsi="Arial" w:cs="Arial"/>
          <w:b/>
          <w:color w:val="0070C0"/>
          <w:sz w:val="48"/>
          <w:szCs w:val="48"/>
        </w:rPr>
        <w:t xml:space="preserve">Kravspecifikation til </w:t>
      </w:r>
      <w:r>
        <w:rPr>
          <w:rFonts w:ascii="Arial" w:hAnsi="Arial" w:cs="Arial"/>
          <w:b/>
          <w:color w:val="0070C0"/>
          <w:sz w:val="48"/>
          <w:szCs w:val="48"/>
        </w:rPr>
        <w:t>anskaffelse</w:t>
      </w: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af ny </w:t>
      </w:r>
      <w:r w:rsidR="00EA5939">
        <w:rPr>
          <w:rFonts w:ascii="Arial" w:hAnsi="Arial" w:cs="Arial"/>
          <w:b/>
          <w:color w:val="0070C0"/>
          <w:sz w:val="48"/>
          <w:szCs w:val="48"/>
        </w:rPr>
        <w:t xml:space="preserve">500 </w:t>
      </w:r>
      <w:r>
        <w:rPr>
          <w:rFonts w:ascii="Arial" w:hAnsi="Arial" w:cs="Arial"/>
          <w:b/>
          <w:color w:val="0070C0"/>
          <w:sz w:val="48"/>
          <w:szCs w:val="48"/>
        </w:rPr>
        <w:t xml:space="preserve">KG søjlesvingkran </w:t>
      </w:r>
    </w:p>
    <w:p w:rsidR="00EA5939" w:rsidRDefault="00EA5939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Bygning 122. rum 106D</w:t>
      </w:r>
    </w:p>
    <w:p w:rsidR="00354A71" w:rsidRPr="002841C1" w:rsidRDefault="00EA5939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MHMM, Antvorskov</w:t>
      </w:r>
      <w:r w:rsidR="00354A71">
        <w:rPr>
          <w:rFonts w:ascii="Arial" w:hAnsi="Arial" w:cs="Arial"/>
          <w:b/>
          <w:color w:val="0070C0"/>
          <w:sz w:val="48"/>
          <w:szCs w:val="48"/>
        </w:rPr>
        <w:t xml:space="preserve">. </w:t>
      </w:r>
    </w:p>
    <w:p w:rsidR="00354A71" w:rsidRPr="002841C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A03FEE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</w:p>
    <w:p w:rsidR="00B34F55" w:rsidRDefault="00A03FEE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54A71" w:rsidRDefault="00354A71" w:rsidP="00354A71"/>
    <w:p w:rsidR="00354A71" w:rsidRPr="00354A71" w:rsidRDefault="00354A71" w:rsidP="00354A71"/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EA5939">
        <w:rPr>
          <w:rFonts w:ascii="Arial" w:hAnsi="Arial" w:cs="Arial"/>
          <w:sz w:val="24"/>
          <w:szCs w:val="24"/>
        </w:rPr>
        <w:t>45</w:t>
      </w:r>
      <w:bookmarkStart w:id="10" w:name="_GoBack"/>
      <w:bookmarkEnd w:id="10"/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EA5939">
        <w:rPr>
          <w:rFonts w:ascii="Arial" w:hAnsi="Arial" w:cs="Arial"/>
          <w:sz w:val="24"/>
          <w:szCs w:val="24"/>
        </w:rPr>
        <w:t>60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EA5939">
        <w:rPr>
          <w:rFonts w:ascii="Arial" w:hAnsi="Arial" w:cs="Arial"/>
          <w:sz w:val="24"/>
          <w:szCs w:val="24"/>
        </w:rPr>
        <w:t>61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EA5939">
        <w:rPr>
          <w:rFonts w:ascii="Arial" w:hAnsi="Arial" w:cs="Arial"/>
          <w:sz w:val="24"/>
          <w:szCs w:val="24"/>
        </w:rPr>
        <w:t>01</w:t>
      </w:r>
      <w:r w:rsidR="003B7E19">
        <w:rPr>
          <w:rFonts w:ascii="Arial" w:hAnsi="Arial" w:cs="Arial"/>
          <w:sz w:val="24"/>
          <w:szCs w:val="24"/>
        </w:rPr>
        <w:t>.0</w:t>
      </w:r>
      <w:r w:rsidR="00EA5939">
        <w:rPr>
          <w:rFonts w:ascii="Arial" w:hAnsi="Arial" w:cs="Arial"/>
          <w:sz w:val="24"/>
          <w:szCs w:val="24"/>
        </w:rPr>
        <w:t>5</w:t>
      </w:r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 w:rsidR="00910C04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 w:rsidR="00910C04"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 w:rsidR="00910C04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 w:rsidR="00910C04"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 w:rsidR="00512E62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3B7E19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01" w:rsidRDefault="00910C01" w:rsidP="00333919">
      <w:pPr>
        <w:spacing w:line="240" w:lineRule="auto"/>
      </w:pPr>
      <w:r>
        <w:separator/>
      </w:r>
    </w:p>
  </w:endnote>
  <w:endnote w:type="continuationSeparator" w:id="0">
    <w:p w:rsidR="00910C01" w:rsidRDefault="00910C0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A41051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A41051" w:rsidRPr="007D38C1">
          <w:rPr>
            <w:rFonts w:asciiTheme="minorHAnsi" w:hAnsiTheme="minorHAnsi" w:cstheme="minorHAnsi"/>
            <w:sz w:val="18"/>
          </w:rPr>
          <w:fldChar w:fldCharType="separate"/>
        </w:r>
        <w:r w:rsidR="00F73DDC">
          <w:rPr>
            <w:rFonts w:asciiTheme="minorHAnsi" w:hAnsiTheme="minorHAnsi" w:cstheme="minorHAnsi"/>
            <w:noProof/>
            <w:sz w:val="18"/>
          </w:rPr>
          <w:t>6</w:t>
        </w:r>
        <w:r w:rsidR="00A41051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01" w:rsidRDefault="00910C01" w:rsidP="00333919">
      <w:pPr>
        <w:spacing w:line="240" w:lineRule="auto"/>
      </w:pPr>
      <w:r>
        <w:separator/>
      </w:r>
    </w:p>
  </w:footnote>
  <w:footnote w:type="continuationSeparator" w:id="0">
    <w:p w:rsidR="00910C01" w:rsidRDefault="00910C0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A41051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B05FF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D5FAE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844E7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1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03FEE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051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4D83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5939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3DDC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C401A63-241F-457F-8D0C-BDA5F85EC6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8AE7D5-9538-4A8E-8C56-FA5964EC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2019-03-13T10:51:00Z</dcterms:created>
  <dcterms:modified xsi:type="dcterms:W3CDTF">2019-03-13T10:51:00Z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