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B" w:rsidRPr="00510DAA" w:rsidRDefault="00121E3B" w:rsidP="00121E3B">
      <w:pPr>
        <w:jc w:val="both"/>
        <w:rPr>
          <w:b/>
        </w:rPr>
      </w:pPr>
      <w:bookmarkStart w:id="0" w:name="_GoBack"/>
      <w:bookmarkEnd w:id="0"/>
      <w:r w:rsidRPr="00510DAA">
        <w:rPr>
          <w:b/>
        </w:rPr>
        <w:t xml:space="preserve">Bilag </w:t>
      </w:r>
      <w:r w:rsidR="0075586D" w:rsidRPr="00510DAA">
        <w:rPr>
          <w:b/>
        </w:rPr>
        <w:t>1</w:t>
      </w:r>
      <w:r w:rsidR="00AC58AB" w:rsidRPr="00510DAA">
        <w:rPr>
          <w:b/>
        </w:rPr>
        <w:t>a</w:t>
      </w:r>
      <w:r w:rsidR="00D14827">
        <w:rPr>
          <w:b/>
        </w:rPr>
        <w:t>. -</w:t>
      </w:r>
      <w:r w:rsidRPr="00510DAA">
        <w:rPr>
          <w:b/>
        </w:rPr>
        <w:t xml:space="preserve"> Øvrige opl</w:t>
      </w:r>
      <w:r w:rsidR="0054184F">
        <w:rPr>
          <w:b/>
        </w:rPr>
        <w:t>ysninger om Ordregivers økonomi</w:t>
      </w:r>
    </w:p>
    <w:p w:rsidR="00121E3B" w:rsidRPr="00510DAA" w:rsidRDefault="00121E3B" w:rsidP="00121E3B">
      <w:pPr>
        <w:jc w:val="both"/>
        <w:rPr>
          <w:u w:val="single"/>
        </w:rPr>
      </w:pPr>
    </w:p>
    <w:p w:rsidR="00121E3B" w:rsidRPr="00510DAA" w:rsidRDefault="00121E3B" w:rsidP="00121E3B">
      <w:pPr>
        <w:pStyle w:val="Listeafsnit"/>
        <w:ind w:left="0"/>
        <w:jc w:val="both"/>
        <w:rPr>
          <w:u w:val="single"/>
        </w:rPr>
      </w:pPr>
      <w:r w:rsidRPr="00510DAA">
        <w:rPr>
          <w:u w:val="single"/>
        </w:rPr>
        <w:t>Ordregivers likviditet:</w:t>
      </w:r>
    </w:p>
    <w:p w:rsidR="00121E3B" w:rsidRPr="00510DAA" w:rsidRDefault="00121E3B" w:rsidP="00121E3B">
      <w:pPr>
        <w:pStyle w:val="Listeafsnit"/>
        <w:ind w:left="0"/>
        <w:jc w:val="both"/>
        <w:rPr>
          <w:u w:val="single"/>
        </w:rPr>
      </w:pPr>
    </w:p>
    <w:p w:rsidR="00121E3B" w:rsidRPr="00510DAA" w:rsidRDefault="00121E3B" w:rsidP="00121E3B">
      <w:pPr>
        <w:pStyle w:val="Listeafsnit"/>
        <w:ind w:left="0"/>
        <w:jc w:val="both"/>
      </w:pPr>
      <w:r w:rsidRPr="00510DAA">
        <w:t>Om udviklingen i ordregivers likviditet, kan følgende oplyses ud fra ultimokassebeholdningen i perioden 2012 – 2016:</w:t>
      </w:r>
    </w:p>
    <w:p w:rsidR="00121E3B" w:rsidRPr="00510DAA" w:rsidRDefault="00121E3B" w:rsidP="00121E3B">
      <w:pPr>
        <w:pStyle w:val="Listeafsnit"/>
        <w:ind w:left="0"/>
        <w:jc w:val="both"/>
      </w:pPr>
    </w:p>
    <w:p w:rsidR="00121E3B" w:rsidRPr="00510DAA" w:rsidRDefault="00121E3B" w:rsidP="00121E3B">
      <w:pPr>
        <w:jc w:val="both"/>
      </w:pPr>
      <w:r w:rsidRPr="00510DAA">
        <w:t>2012: 76,8 mio. kr.</w:t>
      </w:r>
    </w:p>
    <w:p w:rsidR="00121E3B" w:rsidRPr="00510DAA" w:rsidRDefault="00121E3B" w:rsidP="00121E3B">
      <w:pPr>
        <w:jc w:val="both"/>
      </w:pPr>
      <w:r w:rsidRPr="00510DAA">
        <w:t>2013: 89,9 mio. kr.</w:t>
      </w:r>
    </w:p>
    <w:p w:rsidR="00121E3B" w:rsidRPr="00510DAA" w:rsidRDefault="00121E3B" w:rsidP="00121E3B">
      <w:pPr>
        <w:jc w:val="both"/>
      </w:pPr>
      <w:r w:rsidRPr="00510DAA">
        <w:t>2014: 97,9 mio. kr.</w:t>
      </w:r>
    </w:p>
    <w:p w:rsidR="00121E3B" w:rsidRPr="00510DAA" w:rsidRDefault="00121E3B" w:rsidP="00121E3B">
      <w:pPr>
        <w:jc w:val="both"/>
      </w:pPr>
      <w:r w:rsidRPr="00510DAA">
        <w:t>2015: 207,0 mio. kr.</w:t>
      </w:r>
    </w:p>
    <w:p w:rsidR="00121E3B" w:rsidRPr="00510DAA" w:rsidRDefault="00121E3B" w:rsidP="00121E3B">
      <w:pPr>
        <w:jc w:val="both"/>
      </w:pPr>
      <w:r w:rsidRPr="00510DAA">
        <w:t>2016: 132,6 mio. kr.</w:t>
      </w:r>
    </w:p>
    <w:p w:rsidR="00121E3B" w:rsidRPr="00510DAA" w:rsidRDefault="00121E3B" w:rsidP="00121E3B">
      <w:pPr>
        <w:pStyle w:val="Listeafsnit"/>
        <w:jc w:val="both"/>
      </w:pPr>
    </w:p>
    <w:p w:rsidR="00121E3B" w:rsidRPr="00510DAA" w:rsidRDefault="004A1333" w:rsidP="00121E3B">
      <w:pPr>
        <w:pStyle w:val="Listeafsnit"/>
        <w:ind w:left="0"/>
        <w:jc w:val="both"/>
      </w:pPr>
      <w:r>
        <w:t>Ordregives</w:t>
      </w:r>
      <w:r w:rsidR="00121E3B" w:rsidRPr="00510DAA">
        <w:t xml:space="preserve"> gennemsnitlige kassebeholdning (kassekreditreglen) var pr. ultimo december 2016 kr. 191,2 mio. kr.</w:t>
      </w:r>
    </w:p>
    <w:p w:rsidR="00247A1B" w:rsidRPr="00510DAA" w:rsidRDefault="00247A1B" w:rsidP="00121E3B">
      <w:pPr>
        <w:pStyle w:val="Listeafsnit"/>
        <w:ind w:left="0"/>
        <w:jc w:val="both"/>
      </w:pPr>
    </w:p>
    <w:p w:rsidR="00247A1B" w:rsidRPr="00510DAA" w:rsidRDefault="00247A1B" w:rsidP="00121E3B">
      <w:pPr>
        <w:pStyle w:val="Listeafsnit"/>
        <w:ind w:left="0"/>
        <w:jc w:val="both"/>
        <w:rPr>
          <w:u w:val="single"/>
        </w:rPr>
      </w:pPr>
      <w:r w:rsidRPr="00510DAA">
        <w:rPr>
          <w:u w:val="single"/>
        </w:rPr>
        <w:t>Oplysninger om enheder undtaget fra udbuddet</w:t>
      </w:r>
    </w:p>
    <w:p w:rsidR="00247A1B" w:rsidRPr="00510DAA" w:rsidRDefault="00247A1B" w:rsidP="00121E3B">
      <w:pPr>
        <w:pStyle w:val="Listeafsnit"/>
        <w:ind w:left="0"/>
        <w:jc w:val="both"/>
      </w:pPr>
      <w:r w:rsidRPr="00510DAA">
        <w:t xml:space="preserve">Ordregiver har </w:t>
      </w:r>
      <w:r w:rsidR="00211FDB" w:rsidRPr="00510DAA">
        <w:t>undtag</w:t>
      </w:r>
      <w:r w:rsidR="00D71014">
        <w:t xml:space="preserve">et </w:t>
      </w:r>
      <w:r w:rsidR="00401D12">
        <w:t>3</w:t>
      </w:r>
      <w:r w:rsidR="00D71014">
        <w:t xml:space="preserve"> institutioner (</w:t>
      </w:r>
      <w:r w:rsidR="00401D12">
        <w:t xml:space="preserve">Aktivitetshuset, </w:t>
      </w:r>
      <w:r w:rsidR="00D71014">
        <w:t>Havnen</w:t>
      </w:r>
      <w:r w:rsidR="00401D12">
        <w:t xml:space="preserve"> og</w:t>
      </w:r>
      <w:r w:rsidR="00D71014">
        <w:t xml:space="preserve"> Hollænderhallen</w:t>
      </w:r>
      <w:r w:rsidR="00211FDB" w:rsidRPr="00510DAA">
        <w:t>) fra udbuddet, da enhederne anvender en a</w:t>
      </w:r>
      <w:r w:rsidR="00B732A1">
        <w:t>nden bank, Sparekassen Sjælland. Disse enheder forventes at blive del af aftalen primo 2019.</w:t>
      </w:r>
      <w:r w:rsidR="00211FDB" w:rsidRPr="00510DAA">
        <w:t xml:space="preserve"> </w:t>
      </w:r>
    </w:p>
    <w:p w:rsidR="00121E3B" w:rsidRPr="00510DAA" w:rsidRDefault="00121E3B" w:rsidP="00121E3B">
      <w:pPr>
        <w:pStyle w:val="Listeafsnit"/>
        <w:ind w:left="0"/>
        <w:jc w:val="both"/>
      </w:pPr>
    </w:p>
    <w:p w:rsidR="00121E3B" w:rsidRPr="00510DAA" w:rsidRDefault="006768F9" w:rsidP="00121E3B">
      <w:pPr>
        <w:pStyle w:val="Listeafsnit"/>
        <w:ind w:left="0"/>
        <w:jc w:val="both"/>
        <w:rPr>
          <w:u w:val="single"/>
        </w:rPr>
      </w:pPr>
      <w:r w:rsidRPr="00510DAA">
        <w:rPr>
          <w:u w:val="single"/>
        </w:rPr>
        <w:t>Ordregivers nuværende kontosystem</w:t>
      </w:r>
      <w:r w:rsidR="00121E3B" w:rsidRPr="00510DAA">
        <w:rPr>
          <w:u w:val="single"/>
        </w:rPr>
        <w:t>:</w:t>
      </w:r>
    </w:p>
    <w:p w:rsidR="00121E3B" w:rsidRPr="00510DAA" w:rsidRDefault="006768F9" w:rsidP="00121E3B">
      <w:pPr>
        <w:pStyle w:val="Listeafsnit"/>
        <w:ind w:left="0"/>
        <w:jc w:val="both"/>
      </w:pPr>
      <w:r w:rsidRPr="00510DAA">
        <w:t>En oversigt over Ordregivers kontosys</w:t>
      </w:r>
      <w:r w:rsidR="005F3D63">
        <w:t>tem fremgår af Bilag 1b.</w:t>
      </w:r>
      <w:r w:rsidR="005F3D63" w:rsidRPr="00556C95">
        <w:t xml:space="preserve"> Oversigt over Ordregivers konti</w:t>
      </w:r>
      <w:r w:rsidRPr="00510DAA">
        <w:t xml:space="preserve">. </w:t>
      </w:r>
    </w:p>
    <w:p w:rsidR="00121E3B" w:rsidRPr="00510DAA" w:rsidRDefault="00121E3B" w:rsidP="00121E3B">
      <w:pPr>
        <w:pStyle w:val="Listeafsnit"/>
        <w:ind w:left="0"/>
        <w:jc w:val="both"/>
      </w:pPr>
    </w:p>
    <w:p w:rsidR="00121E3B" w:rsidRPr="00510DAA" w:rsidRDefault="00121E3B" w:rsidP="00121E3B">
      <w:pPr>
        <w:pStyle w:val="Listeafsnit"/>
        <w:ind w:left="0"/>
        <w:jc w:val="both"/>
        <w:rPr>
          <w:u w:val="single"/>
        </w:rPr>
      </w:pPr>
      <w:r w:rsidRPr="00510DAA">
        <w:rPr>
          <w:u w:val="single"/>
        </w:rPr>
        <w:t>WEB-baseret IT-værktøj</w:t>
      </w:r>
    </w:p>
    <w:p w:rsidR="00121E3B" w:rsidRPr="00510DAA" w:rsidRDefault="00121E3B" w:rsidP="00121E3B">
      <w:pPr>
        <w:pStyle w:val="Listeafsnit"/>
        <w:ind w:left="0"/>
        <w:jc w:val="both"/>
      </w:pPr>
      <w:r w:rsidRPr="00510DAA">
        <w:t>Dragør Kommune benytter overførsler via NEM-kontosystemet, og anvender i øvrigt KMD</w:t>
      </w:r>
      <w:r w:rsidR="006768F9" w:rsidRPr="00510DAA">
        <w:t>’</w:t>
      </w:r>
      <w:r w:rsidRPr="00510DAA">
        <w:t xml:space="preserve">s </w:t>
      </w:r>
      <w:r w:rsidR="006768F9" w:rsidRPr="00510DAA">
        <w:t xml:space="preserve">løn- og </w:t>
      </w:r>
      <w:r w:rsidRPr="00510DAA">
        <w:t xml:space="preserve">økonomisystem </w:t>
      </w:r>
      <w:r w:rsidR="006768F9" w:rsidRPr="00510DAA">
        <w:t>Opus.</w:t>
      </w:r>
      <w:r w:rsidRPr="00510DAA">
        <w:rPr>
          <w:color w:val="FF0000"/>
        </w:rPr>
        <w:t xml:space="preserve"> </w:t>
      </w:r>
      <w:r w:rsidRPr="00510DAA">
        <w:t xml:space="preserve">Der anvendes også </w:t>
      </w:r>
      <w:r w:rsidR="005F3D63">
        <w:t xml:space="preserve">systemet Opus Debitor til udstedelse af </w:t>
      </w:r>
      <w:r w:rsidRPr="00510DAA">
        <w:t>indbetalingskort</w:t>
      </w:r>
      <w:r w:rsidR="005F3D63">
        <w:t xml:space="preserve"> (FI kort)</w:t>
      </w:r>
      <w:r w:rsidRPr="00510DAA">
        <w:t>.</w:t>
      </w:r>
    </w:p>
    <w:p w:rsidR="00121E3B" w:rsidRPr="00510DAA" w:rsidRDefault="00121E3B" w:rsidP="00121E3B">
      <w:pPr>
        <w:pStyle w:val="Listeafsnit"/>
        <w:ind w:left="0"/>
        <w:jc w:val="both"/>
      </w:pPr>
    </w:p>
    <w:p w:rsidR="00E93F42" w:rsidRPr="00510DAA" w:rsidRDefault="00121E3B" w:rsidP="00121E3B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10DAA">
        <w:rPr>
          <w:bCs/>
          <w:color w:val="000000"/>
          <w:u w:val="single"/>
        </w:rPr>
        <w:t xml:space="preserve">NemKonto </w:t>
      </w:r>
      <w:r w:rsidR="005F3D63">
        <w:rPr>
          <w:bCs/>
          <w:color w:val="000000"/>
          <w:u w:val="single"/>
        </w:rPr>
        <w:t>og nye borgere</w:t>
      </w:r>
      <w:r w:rsidRPr="00510DAA">
        <w:rPr>
          <w:bCs/>
          <w:color w:val="000000"/>
          <w:u w:val="single"/>
        </w:rPr>
        <w:t xml:space="preserve"> </w:t>
      </w:r>
    </w:p>
    <w:p w:rsidR="00121E3B" w:rsidRPr="00510DAA" w:rsidRDefault="00121E3B" w:rsidP="00121E3B">
      <w:pPr>
        <w:autoSpaceDE w:val="0"/>
        <w:autoSpaceDN w:val="0"/>
        <w:adjustRightInd w:val="0"/>
        <w:jc w:val="both"/>
        <w:rPr>
          <w:color w:val="000000"/>
        </w:rPr>
      </w:pPr>
      <w:r w:rsidRPr="00510DAA">
        <w:rPr>
          <w:color w:val="000000"/>
        </w:rPr>
        <w:t>Intentionerne med NemKonto-ordningen er at begrænse kontantudbetalingen til borgere mest muligt. Dette bevirker, at alle borgere har behov for en konto i et pengeinstitut.</w:t>
      </w:r>
    </w:p>
    <w:p w:rsidR="00121E3B" w:rsidRPr="00510DAA" w:rsidRDefault="00121E3B" w:rsidP="00121E3B">
      <w:pPr>
        <w:autoSpaceDE w:val="0"/>
        <w:autoSpaceDN w:val="0"/>
        <w:adjustRightInd w:val="0"/>
        <w:jc w:val="both"/>
        <w:rPr>
          <w:color w:val="000000"/>
        </w:rPr>
      </w:pPr>
    </w:p>
    <w:p w:rsidR="00121E3B" w:rsidRPr="00510DAA" w:rsidRDefault="00121E3B" w:rsidP="00121E3B">
      <w:pPr>
        <w:autoSpaceDE w:val="0"/>
        <w:autoSpaceDN w:val="0"/>
        <w:adjustRightInd w:val="0"/>
        <w:jc w:val="both"/>
        <w:rPr>
          <w:color w:val="000000"/>
        </w:rPr>
      </w:pPr>
      <w:r w:rsidRPr="00510DAA">
        <w:rPr>
          <w:color w:val="000000"/>
        </w:rPr>
        <w:t xml:space="preserve">Alle borgere har </w:t>
      </w:r>
      <w:r w:rsidR="00287D6E">
        <w:rPr>
          <w:color w:val="000000"/>
        </w:rPr>
        <w:t xml:space="preserve">en </w:t>
      </w:r>
      <w:r w:rsidRPr="00510DAA">
        <w:rPr>
          <w:color w:val="000000"/>
        </w:rPr>
        <w:t xml:space="preserve">grundlæggende ret til at åbne en konto i et pengeinstitut. Tilbudsgiver </w:t>
      </w:r>
      <w:r w:rsidR="00287D6E">
        <w:rPr>
          <w:color w:val="000000"/>
        </w:rPr>
        <w:t xml:space="preserve">bedes </w:t>
      </w:r>
      <w:r w:rsidRPr="00510DAA">
        <w:rPr>
          <w:color w:val="000000"/>
        </w:rPr>
        <w:t>være indforstået med at oprette en Nemkonto til de borgere der ikke kan oprette en Nemkonto i et andet pengeinstitut</w:t>
      </w:r>
      <w:r w:rsidR="009401DD">
        <w:rPr>
          <w:color w:val="000000"/>
        </w:rPr>
        <w:t>,</w:t>
      </w:r>
      <w:r w:rsidRPr="00510DAA">
        <w:rPr>
          <w:color w:val="000000"/>
        </w:rPr>
        <w:t xml:space="preserve"> med mindre der er tale om et undtagelsestilfælde jævnfø</w:t>
      </w:r>
      <w:r w:rsidR="00287D6E">
        <w:rPr>
          <w:color w:val="000000"/>
        </w:rPr>
        <w:t>r lov om betalingskonti § 11</w:t>
      </w:r>
      <w:r w:rsidRPr="00510DAA">
        <w:rPr>
          <w:color w:val="000000"/>
        </w:rPr>
        <w:t>.</w:t>
      </w:r>
    </w:p>
    <w:p w:rsidR="005F3D63" w:rsidRDefault="005F3D63" w:rsidP="00121E3B">
      <w:pPr>
        <w:autoSpaceDE w:val="0"/>
        <w:autoSpaceDN w:val="0"/>
        <w:adjustRightInd w:val="0"/>
        <w:jc w:val="both"/>
        <w:rPr>
          <w:color w:val="000000"/>
        </w:rPr>
      </w:pPr>
    </w:p>
    <w:p w:rsidR="005F3D63" w:rsidRDefault="005F3D63" w:rsidP="00121E3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Når Ordregiver i dag modtager nye borgere </w:t>
      </w:r>
      <w:r w:rsidR="004E4ECC">
        <w:rPr>
          <w:color w:val="000000"/>
        </w:rPr>
        <w:t xml:space="preserve">så som flygtninge og folk, der familiesammenføres, </w:t>
      </w:r>
      <w:r>
        <w:rPr>
          <w:color w:val="000000"/>
        </w:rPr>
        <w:t>uden en NemKonto må økonomiske ydelser</w:t>
      </w:r>
      <w:r w:rsidR="004E4ECC">
        <w:rPr>
          <w:color w:val="000000"/>
        </w:rPr>
        <w:t>, de er berettiget til,</w:t>
      </w:r>
      <w:r>
        <w:rPr>
          <w:color w:val="000000"/>
        </w:rPr>
        <w:t xml:space="preserve"> stilles til </w:t>
      </w:r>
      <w:r w:rsidR="004E4ECC">
        <w:rPr>
          <w:color w:val="000000"/>
        </w:rPr>
        <w:t xml:space="preserve">deres </w:t>
      </w:r>
      <w:r>
        <w:rPr>
          <w:color w:val="000000"/>
        </w:rPr>
        <w:t xml:space="preserve">rådighed i form af rede penge. </w:t>
      </w:r>
      <w:r w:rsidR="004E4ECC">
        <w:rPr>
          <w:color w:val="000000"/>
        </w:rPr>
        <w:t xml:space="preserve">Ofte er det kun den </w:t>
      </w:r>
      <w:r>
        <w:rPr>
          <w:color w:val="000000"/>
        </w:rPr>
        <w:t xml:space="preserve">første måned, borgeren opholder sig i kommunen, at der </w:t>
      </w:r>
      <w:r w:rsidR="004E4ECC">
        <w:rPr>
          <w:color w:val="000000"/>
        </w:rPr>
        <w:t xml:space="preserve">udleveres rede penge, da man har kunnet nå at oprette en NemKonto </w:t>
      </w:r>
      <w:r w:rsidR="00975425">
        <w:rPr>
          <w:color w:val="000000"/>
        </w:rPr>
        <w:t>til borgeren den</w:t>
      </w:r>
      <w:r w:rsidR="004E4ECC">
        <w:rPr>
          <w:color w:val="000000"/>
        </w:rPr>
        <w:t xml:space="preserve"> efterfølgende måned. </w:t>
      </w:r>
      <w:r>
        <w:rPr>
          <w:color w:val="000000"/>
        </w:rPr>
        <w:t>Ord</w:t>
      </w:r>
      <w:r w:rsidR="004E4ECC">
        <w:rPr>
          <w:color w:val="000000"/>
        </w:rPr>
        <w:t>regiver vil dog gerne være helt kontantfri. Det ønskes d</w:t>
      </w:r>
      <w:r>
        <w:rPr>
          <w:color w:val="000000"/>
        </w:rPr>
        <w:t xml:space="preserve">erfor, at </w:t>
      </w:r>
      <w:r w:rsidR="004E4ECC">
        <w:rPr>
          <w:color w:val="000000"/>
        </w:rPr>
        <w:t xml:space="preserve">Tilbudsgiver inkluderer et forslag til løsning af denne problemstilling. </w:t>
      </w:r>
      <w:r w:rsidR="00975425">
        <w:rPr>
          <w:color w:val="000000"/>
        </w:rPr>
        <w:t xml:space="preserve">Se også pkt. </w:t>
      </w:r>
      <w:r w:rsidR="00D71014">
        <w:rPr>
          <w:color w:val="000000"/>
        </w:rPr>
        <w:t>6 i kravspecifikationen.</w:t>
      </w:r>
    </w:p>
    <w:p w:rsidR="005F3D63" w:rsidRPr="00510DAA" w:rsidRDefault="005F3D63" w:rsidP="00121E3B">
      <w:pPr>
        <w:autoSpaceDE w:val="0"/>
        <w:autoSpaceDN w:val="0"/>
        <w:adjustRightInd w:val="0"/>
        <w:jc w:val="both"/>
        <w:rPr>
          <w:color w:val="000000"/>
        </w:rPr>
      </w:pPr>
    </w:p>
    <w:p w:rsidR="00121E3B" w:rsidRPr="00510DAA" w:rsidRDefault="00121E3B" w:rsidP="00121E3B">
      <w:pPr>
        <w:autoSpaceDE w:val="0"/>
        <w:autoSpaceDN w:val="0"/>
        <w:adjustRightInd w:val="0"/>
        <w:jc w:val="both"/>
      </w:pPr>
      <w:r w:rsidRPr="00510DAA">
        <w:rPr>
          <w:color w:val="000000"/>
        </w:rPr>
        <w:t>Dragør Kommunes kvote for modtagelse a</w:t>
      </w:r>
      <w:r w:rsidRPr="00510DAA">
        <w:t>f flygtninge i 2017 er på 1</w:t>
      </w:r>
      <w:r w:rsidR="00D71014">
        <w:t>6</w:t>
      </w:r>
      <w:r w:rsidRPr="00510DAA">
        <w:t xml:space="preserve"> personer.</w:t>
      </w:r>
    </w:p>
    <w:p w:rsidR="00121E3B" w:rsidRPr="00510DAA" w:rsidRDefault="00121E3B" w:rsidP="00121E3B">
      <w:pPr>
        <w:autoSpaceDE w:val="0"/>
        <w:autoSpaceDN w:val="0"/>
        <w:adjustRightInd w:val="0"/>
        <w:jc w:val="both"/>
        <w:rPr>
          <w:color w:val="000000"/>
        </w:rPr>
      </w:pPr>
    </w:p>
    <w:p w:rsidR="00121E3B" w:rsidRPr="00510DAA" w:rsidRDefault="00121E3B" w:rsidP="00121E3B">
      <w:pPr>
        <w:jc w:val="both"/>
        <w:rPr>
          <w:color w:val="000000"/>
        </w:rPr>
      </w:pPr>
    </w:p>
    <w:p w:rsidR="00121E3B" w:rsidRPr="00510DAA" w:rsidRDefault="004E4ECC" w:rsidP="00121E3B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u w:val="single"/>
        </w:rPr>
        <w:lastRenderedPageBreak/>
        <w:t>Ordregivers fonde og</w:t>
      </w:r>
      <w:r w:rsidR="00121E3B" w:rsidRPr="00510DAA">
        <w:rPr>
          <w:bCs/>
          <w:u w:val="single"/>
        </w:rPr>
        <w:t xml:space="preserve"> legater </w:t>
      </w:r>
    </w:p>
    <w:p w:rsidR="00401D12" w:rsidRDefault="004E4ECC" w:rsidP="00F732BC">
      <w:pPr>
        <w:jc w:val="both"/>
      </w:pPr>
      <w:r>
        <w:t xml:space="preserve">En oversigt over </w:t>
      </w:r>
      <w:r w:rsidR="004A1333">
        <w:t>Ordregives</w:t>
      </w:r>
      <w:r w:rsidR="00401D12">
        <w:t xml:space="preserve"> fonde og depotværdier</w:t>
      </w:r>
      <w:r>
        <w:t xml:space="preserve"> er angivet i bilag</w:t>
      </w:r>
      <w:r w:rsidRPr="00556C95">
        <w:t xml:space="preserve"> 1b. </w:t>
      </w:r>
    </w:p>
    <w:p w:rsidR="00401D12" w:rsidRDefault="004E4ECC" w:rsidP="00F732BC">
      <w:pPr>
        <w:jc w:val="both"/>
      </w:pPr>
      <w:r>
        <w:t xml:space="preserve"> </w:t>
      </w:r>
    </w:p>
    <w:p w:rsidR="00F732BC" w:rsidRDefault="00F732BC" w:rsidP="00F732BC">
      <w:pPr>
        <w:jc w:val="both"/>
      </w:pPr>
      <w:r>
        <w:t>Oversigt over opgave- og ansvarsfordeling i forbindelse med håndtering af regnskab for fo</w:t>
      </w:r>
      <w:r w:rsidR="00DE6CC7">
        <w:t>nde og legater i Dragør Kommune er angivet i bilag 1c.</w:t>
      </w:r>
    </w:p>
    <w:p w:rsidR="00DE6CC7" w:rsidRDefault="00DE6CC7" w:rsidP="00F732BC">
      <w:pPr>
        <w:jc w:val="both"/>
      </w:pPr>
    </w:p>
    <w:p w:rsidR="00DE6CC7" w:rsidRDefault="00DE6CC7" w:rsidP="00F732BC">
      <w:pPr>
        <w:jc w:val="both"/>
      </w:pPr>
      <w:r>
        <w:t>Oplysning:</w:t>
      </w:r>
    </w:p>
    <w:p w:rsidR="00DE6CC7" w:rsidRDefault="00DE6CC7" w:rsidP="00F732BC">
      <w:pPr>
        <w:jc w:val="both"/>
      </w:pPr>
      <w:r>
        <w:t xml:space="preserve">Fælleslegat for værdige trængende i Dragør Kommune er under nedlæggelse. </w:t>
      </w:r>
      <w:r w:rsidR="009401DD">
        <w:t>Det f</w:t>
      </w:r>
      <w:r>
        <w:t>orventes afsluttet inden tiltrædelse af ny bankaftale.</w:t>
      </w:r>
    </w:p>
    <w:p w:rsidR="00DE6CC7" w:rsidRDefault="00DE6CC7" w:rsidP="00F732BC">
      <w:pPr>
        <w:jc w:val="both"/>
      </w:pPr>
      <w:r>
        <w:t xml:space="preserve">Fælleslegat </w:t>
      </w:r>
      <w:r w:rsidR="00293DC6">
        <w:t>til unge menneskers videre uddannelse i Dragør Kommune er igangværende i proces for nedlæggelse. Pt. på vej mod Civilstyrelsens godkendelse af afviklingen.</w:t>
      </w:r>
    </w:p>
    <w:p w:rsidR="009401DD" w:rsidRDefault="009401DD" w:rsidP="00F732BC">
      <w:pPr>
        <w:jc w:val="both"/>
      </w:pPr>
    </w:p>
    <w:p w:rsidR="009401DD" w:rsidRPr="009401DD" w:rsidRDefault="009401DD" w:rsidP="00F732BC">
      <w:pPr>
        <w:jc w:val="both"/>
        <w:rPr>
          <w:u w:val="single"/>
        </w:rPr>
      </w:pPr>
      <w:r w:rsidRPr="009401DD">
        <w:rPr>
          <w:u w:val="single"/>
        </w:rPr>
        <w:t>Repo forretninger</w:t>
      </w:r>
    </w:p>
    <w:p w:rsidR="00121E3B" w:rsidRDefault="00DB7447" w:rsidP="00121E3B">
      <w:pPr>
        <w:jc w:val="both"/>
      </w:pPr>
      <w:r>
        <w:t>Salgs- og tilbagekøbsaftaler (repo forretninger) er aftaler, hvor der sker handel med kommunens obligationer</w:t>
      </w:r>
      <w:r w:rsidR="009401DD" w:rsidRPr="00445DCB">
        <w:t>.</w:t>
      </w:r>
      <w:r>
        <w:t xml:space="preserve"> Arrangementet fungerer i realiteten som et kortfristet lån med sikkerhed i værdipapirer. </w:t>
      </w:r>
      <w:r w:rsidR="009401DD" w:rsidRPr="00445DCB">
        <w:t>Ordregiver handler Repo forretninger for at sikre, at likviditeten er i balance, dvs. at Ordregiver kan betale de udgifter som er planlagt</w:t>
      </w:r>
      <w:r w:rsidR="00F35488">
        <w:t xml:space="preserve"> samt overholde Ordregivers regler for kassebeholdning</w:t>
      </w:r>
      <w:r w:rsidR="009401DD" w:rsidRPr="00445DCB">
        <w:t xml:space="preserve">. </w:t>
      </w:r>
      <w:r w:rsidR="00445DCB" w:rsidRPr="00445DCB">
        <w:t>I 2016 foretog Ordregiver 8 R</w:t>
      </w:r>
      <w:r w:rsidR="0059619A" w:rsidRPr="00445DCB">
        <w:t>epo</w:t>
      </w:r>
      <w:r w:rsidR="00445DCB" w:rsidRPr="00445DCB">
        <w:t xml:space="preserve"> </w:t>
      </w:r>
      <w:r w:rsidR="0059619A" w:rsidRPr="00445DCB">
        <w:t xml:space="preserve">forretninger til en </w:t>
      </w:r>
      <w:r w:rsidR="00F35488">
        <w:t xml:space="preserve">samlet </w:t>
      </w:r>
      <w:r w:rsidR="0059619A" w:rsidRPr="00445DCB">
        <w:t>værdi af 184 mio. kr.</w:t>
      </w:r>
    </w:p>
    <w:p w:rsidR="00F35488" w:rsidRDefault="00F35488" w:rsidP="00121E3B">
      <w:pPr>
        <w:jc w:val="both"/>
      </w:pPr>
    </w:p>
    <w:p w:rsidR="00E10C6D" w:rsidRDefault="00E10C6D"/>
    <w:sectPr w:rsidR="00E10C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5BA"/>
    <w:multiLevelType w:val="hybridMultilevel"/>
    <w:tmpl w:val="63A89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5C30"/>
    <w:multiLevelType w:val="hybridMultilevel"/>
    <w:tmpl w:val="E416E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3B"/>
    <w:rsid w:val="00121E3B"/>
    <w:rsid w:val="00211FDB"/>
    <w:rsid w:val="00247A1B"/>
    <w:rsid w:val="00287D6E"/>
    <w:rsid w:val="00293DC6"/>
    <w:rsid w:val="002D41CA"/>
    <w:rsid w:val="002E1C3F"/>
    <w:rsid w:val="003642CC"/>
    <w:rsid w:val="003661BA"/>
    <w:rsid w:val="00401D12"/>
    <w:rsid w:val="004332BA"/>
    <w:rsid w:val="00445DCB"/>
    <w:rsid w:val="004A1333"/>
    <w:rsid w:val="004E4ECC"/>
    <w:rsid w:val="00510DAA"/>
    <w:rsid w:val="0054184F"/>
    <w:rsid w:val="0059619A"/>
    <w:rsid w:val="005F3D63"/>
    <w:rsid w:val="00601DB1"/>
    <w:rsid w:val="006768F9"/>
    <w:rsid w:val="00683C86"/>
    <w:rsid w:val="0075586D"/>
    <w:rsid w:val="007B6AE9"/>
    <w:rsid w:val="007F4967"/>
    <w:rsid w:val="009401DD"/>
    <w:rsid w:val="00975425"/>
    <w:rsid w:val="00AC58AB"/>
    <w:rsid w:val="00AD60FA"/>
    <w:rsid w:val="00B02F47"/>
    <w:rsid w:val="00B732A1"/>
    <w:rsid w:val="00C1655A"/>
    <w:rsid w:val="00CE085B"/>
    <w:rsid w:val="00D14827"/>
    <w:rsid w:val="00D71014"/>
    <w:rsid w:val="00DB7447"/>
    <w:rsid w:val="00DE6CC7"/>
    <w:rsid w:val="00E10C6D"/>
    <w:rsid w:val="00E93F42"/>
    <w:rsid w:val="00F35488"/>
    <w:rsid w:val="00F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3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1E3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E1C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1C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1C3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1C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1C3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C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3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1E3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E1C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1C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1C3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1C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1C3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C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B79EFF0B</Template>
  <TotalTime>0</TotalTime>
  <Pages>2</Pages>
  <Words>471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Bredmose Holm</dc:creator>
  <cp:lastModifiedBy>Carsten Kjær-Knudsen</cp:lastModifiedBy>
  <cp:revision>2</cp:revision>
  <cp:lastPrinted>2017-05-22T07:59:00Z</cp:lastPrinted>
  <dcterms:created xsi:type="dcterms:W3CDTF">2017-06-23T07:17:00Z</dcterms:created>
  <dcterms:modified xsi:type="dcterms:W3CDTF">2017-06-23T07:17:00Z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{D70FCAB4-3D05-4281-A722-AA11029EB3A9}</vt:lpwstr>
  </property>
</Properties>
</file>